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1D" w:rsidRPr="00451DB5" w:rsidRDefault="00B3331D" w:rsidP="00B3331D">
      <w:pPr>
        <w:tabs>
          <w:tab w:val="left" w:pos="708"/>
          <w:tab w:val="left" w:pos="1416"/>
          <w:tab w:val="left" w:pos="2124"/>
          <w:tab w:val="left" w:pos="2832"/>
          <w:tab w:val="left" w:pos="3540"/>
          <w:tab w:val="left" w:pos="4248"/>
          <w:tab w:val="left" w:pos="4956"/>
          <w:tab w:val="left" w:pos="6564"/>
        </w:tabs>
        <w:autoSpaceDE w:val="0"/>
        <w:autoSpaceDN w:val="0"/>
        <w:adjustRightInd w:val="0"/>
        <w:spacing w:line="360" w:lineRule="auto"/>
        <w:outlineLvl w:val="2"/>
        <w:rPr>
          <w:rFonts w:ascii="Times New Roman" w:hAnsi="Times New Roman"/>
          <w:b/>
          <w:bCs/>
          <w:caps/>
          <w:color w:val="000000"/>
          <w:szCs w:val="24"/>
          <w:lang w:val="es-AR"/>
        </w:rPr>
      </w:pPr>
      <w:r w:rsidRPr="00451DB5">
        <w:rPr>
          <w:rFonts w:ascii="Times New Roman" w:hAnsi="Times New Roman"/>
          <w:b/>
          <w:bCs/>
          <w:caps/>
          <w:color w:val="000000"/>
          <w:szCs w:val="24"/>
          <w:lang w:val="es-AR"/>
        </w:rPr>
        <w:t>Prospecto de oferta pública DE obligaciones negociables para RÉGIMEN PYME CNV Garantizada.</w:t>
      </w:r>
    </w:p>
    <w:p w:rsidR="00B3331D" w:rsidRPr="00451DB5" w:rsidRDefault="00B3331D" w:rsidP="00B3331D">
      <w:pPr>
        <w:keepNext/>
        <w:suppressAutoHyphens/>
        <w:spacing w:line="360" w:lineRule="auto"/>
        <w:outlineLvl w:val="3"/>
        <w:rPr>
          <w:rFonts w:ascii="Times New Roman" w:hAnsi="Times New Roman"/>
          <w:szCs w:val="24"/>
          <w:lang w:val="es-AR" w:eastAsia="es-AR"/>
        </w:rPr>
      </w:pPr>
      <w:r w:rsidRPr="00451DB5">
        <w:rPr>
          <w:rFonts w:ascii="Times New Roman" w:hAnsi="Times New Roman"/>
          <w:szCs w:val="24"/>
          <w:lang w:val="es-AR" w:eastAsia="es-AR"/>
        </w:rPr>
        <w:t>En todos los casos, en el inicio del documento y como información principal, deberá consignarse las leyendas contenidas en el presente, y respetarse el diagrama de información estrictamente en el orden que seguidamente se detalla.</w:t>
      </w:r>
    </w:p>
    <w:p w:rsidR="00B3331D" w:rsidRPr="00451DB5" w:rsidRDefault="00B3331D" w:rsidP="00B3331D">
      <w:pPr>
        <w:keepNext/>
        <w:suppressAutoHyphens/>
        <w:spacing w:line="360" w:lineRule="auto"/>
        <w:outlineLvl w:val="3"/>
        <w:rPr>
          <w:rFonts w:ascii="Times New Roman" w:hAnsi="Times New Roman"/>
          <w:b/>
          <w:bCs/>
          <w:szCs w:val="24"/>
          <w:lang w:val="es-AR" w:eastAsia="ar-SA"/>
        </w:rPr>
      </w:pPr>
      <w:r w:rsidRPr="00451DB5">
        <w:rPr>
          <w:rFonts w:ascii="Times New Roman" w:hAnsi="Times New Roman"/>
          <w:b/>
          <w:bCs/>
          <w:szCs w:val="24"/>
          <w:lang w:val="es-AR" w:eastAsia="ar-SA"/>
        </w:rPr>
        <w:t>PORTADA DEL PROSPECTO Y LOGO.</w:t>
      </w:r>
    </w:p>
    <w:p w:rsidR="00B3331D" w:rsidRPr="00451DB5" w:rsidRDefault="00B3331D" w:rsidP="00B3331D">
      <w:pPr>
        <w:suppressAutoHyphens/>
        <w:spacing w:line="360" w:lineRule="auto"/>
        <w:rPr>
          <w:rFonts w:ascii="Times New Roman" w:hAnsi="Times New Roman"/>
          <w:szCs w:val="24"/>
          <w:lang w:val="es-AR" w:eastAsia="es-AR"/>
        </w:rPr>
      </w:pPr>
      <w:r w:rsidRPr="00451DB5">
        <w:rPr>
          <w:rFonts w:ascii="Times New Roman" w:hAnsi="Times New Roman"/>
          <w:szCs w:val="24"/>
          <w:lang w:val="es-AR" w:eastAsia="es-AR"/>
        </w:rPr>
        <w:t>En la portada del documento se hará referencia a que las Obligaciones Negociables ofrecidas se emitirán bajo el régimen PYME CNV GARANTIZADA. En dicho lugar, asimismo se indicará, el monto de las mismas y el logo del emisor, de corresponder.</w:t>
      </w:r>
    </w:p>
    <w:p w:rsidR="00B3331D" w:rsidRPr="00451DB5" w:rsidRDefault="00B3331D" w:rsidP="00B3331D">
      <w:pPr>
        <w:keepNext/>
        <w:suppressAutoHyphens/>
        <w:spacing w:line="360" w:lineRule="auto"/>
        <w:outlineLvl w:val="3"/>
        <w:rPr>
          <w:rFonts w:ascii="Times New Roman" w:hAnsi="Times New Roman"/>
          <w:b/>
          <w:bCs/>
          <w:szCs w:val="24"/>
          <w:lang w:val="es-AR" w:eastAsia="ar-SA"/>
        </w:rPr>
      </w:pPr>
      <w:r w:rsidRPr="00451DB5">
        <w:rPr>
          <w:rFonts w:ascii="Times New Roman" w:hAnsi="Times New Roman"/>
          <w:b/>
          <w:bCs/>
          <w:szCs w:val="24"/>
          <w:lang w:val="es-AR" w:eastAsia="ar-SA"/>
        </w:rPr>
        <w:t>LEYENDA DEL PROSPECTO DEFINITIVO</w:t>
      </w:r>
    </w:p>
    <w:p w:rsidR="00B3331D" w:rsidRPr="00451DB5" w:rsidRDefault="00B3331D" w:rsidP="00B3331D">
      <w:pPr>
        <w:spacing w:line="360" w:lineRule="auto"/>
        <w:rPr>
          <w:rFonts w:ascii="Times New Roman" w:hAnsi="Times New Roman"/>
          <w:szCs w:val="24"/>
          <w:lang w:val="es-AR" w:eastAsia="es-AR"/>
        </w:rPr>
      </w:pPr>
      <w:r w:rsidRPr="00451DB5">
        <w:rPr>
          <w:rFonts w:ascii="Times New Roman" w:hAnsi="Times New Roman"/>
          <w:szCs w:val="24"/>
          <w:lang w:val="es-AR" w:eastAsia="es-AR"/>
        </w:rPr>
        <w:t xml:space="preserve">“Oferta pública autorizada en los términos de la Ley N° 26.831, los Decretos N° 1.087/93 1.023/13 y las NORMAS (T.O. 2013 y </w:t>
      </w:r>
      <w:proofErr w:type="spellStart"/>
      <w:r w:rsidRPr="00451DB5">
        <w:rPr>
          <w:rFonts w:ascii="Times New Roman" w:hAnsi="Times New Roman"/>
          <w:szCs w:val="24"/>
          <w:lang w:val="es-AR" w:eastAsia="es-AR"/>
        </w:rPr>
        <w:t>mod</w:t>
      </w:r>
      <w:proofErr w:type="spellEnd"/>
      <w:r w:rsidRPr="00451DB5">
        <w:rPr>
          <w:rFonts w:ascii="Times New Roman" w:hAnsi="Times New Roman"/>
          <w:szCs w:val="24"/>
          <w:lang w:val="es-AR" w:eastAsia="es-AR"/>
        </w:rPr>
        <w:t xml:space="preserve">.) </w:t>
      </w:r>
      <w:proofErr w:type="gramStart"/>
      <w:r w:rsidRPr="00451DB5">
        <w:rPr>
          <w:rFonts w:ascii="Times New Roman" w:hAnsi="Times New Roman"/>
          <w:szCs w:val="24"/>
          <w:lang w:val="es-AR" w:eastAsia="es-AR"/>
        </w:rPr>
        <w:t>de</w:t>
      </w:r>
      <w:proofErr w:type="gramEnd"/>
      <w:r w:rsidRPr="00451DB5">
        <w:rPr>
          <w:rFonts w:ascii="Times New Roman" w:hAnsi="Times New Roman"/>
          <w:szCs w:val="24"/>
          <w:lang w:val="es-AR" w:eastAsia="es-AR"/>
        </w:rPr>
        <w:t xml:space="preserve"> la Comisión Nacional de Valores, registrada bajo Resolución N°................del................de............... Esta autorización sólo significa que se han cumplido con los requisitos establecidos en materia de información establecidos en el régimen PYME CNV GARANTIZADA. La Comisión Nacional de Valores no ha emitido juicio sobre los datos contenidos en el prospecto. La veracidad de la información suministrada en el presente prospecto es exclusiva responsabilidad del órgano de administración de la emisora y demás responsables según los artículos 119 y 120 de la Ley N° 26.831. El órgano de administración manifiesta, con carácter de declaración jurada, que el presente prospecto contiene, a la fecha de su publicación, información veraz y suficiente conforme a lo requerido por las normas vigentes. Los inversores deben tener en cuenta al momento de realizar su inversión que el sujeto emisor, en relación con la presente, contará con un régimen informativo diferenciado debido a que esta emisión se efectúa bajo el régimen garantizado por una Entidad de Garantía autorizada por la Comisión Nacional de Valores, lo que implicará que se les aplicará el régimen informativo diferenciado establecido en el artículo 24 de la Sección VI del Capítulo VI del Título II.</w:t>
      </w:r>
    </w:p>
    <w:p w:rsidR="00B3331D" w:rsidRPr="00451DB5" w:rsidRDefault="00B3331D" w:rsidP="00B3331D">
      <w:pPr>
        <w:spacing w:line="360" w:lineRule="auto"/>
        <w:rPr>
          <w:rFonts w:ascii="Times New Roman" w:hAnsi="Times New Roman"/>
          <w:szCs w:val="24"/>
          <w:lang w:val="es-AR" w:eastAsia="es-AR"/>
        </w:rPr>
      </w:pPr>
      <w:r w:rsidRPr="00451DB5">
        <w:rPr>
          <w:rFonts w:ascii="Times New Roman" w:hAnsi="Times New Roman"/>
          <w:szCs w:val="24"/>
          <w:lang w:val="es-AR" w:eastAsia="es-AR"/>
        </w:rPr>
        <w:t>Las obligaciones negociables autorizadas a oferta pública sólo pueden negociarse públicamente en Mercados autorizados del país, para ser adquiridas por los inversores que indican las Normas de la Comisión Nacional de Valores en su Sección I del Capítulo VI del Título II”.</w:t>
      </w:r>
    </w:p>
    <w:p w:rsidR="00B3331D" w:rsidRPr="00451DB5" w:rsidRDefault="00B3331D" w:rsidP="00B3331D">
      <w:pPr>
        <w:keepNext/>
        <w:suppressAutoHyphens/>
        <w:spacing w:line="360" w:lineRule="auto"/>
        <w:jc w:val="left"/>
        <w:outlineLvl w:val="3"/>
        <w:rPr>
          <w:rFonts w:ascii="Times New Roman" w:hAnsi="Times New Roman"/>
          <w:b/>
          <w:bCs/>
          <w:szCs w:val="24"/>
          <w:lang w:val="es-AR" w:eastAsia="es-AR"/>
        </w:rPr>
      </w:pPr>
      <w:r w:rsidRPr="00451DB5">
        <w:rPr>
          <w:rFonts w:ascii="Times New Roman" w:hAnsi="Times New Roman"/>
          <w:b/>
          <w:bCs/>
          <w:szCs w:val="24"/>
          <w:lang w:val="es-AR" w:eastAsia="es-AR"/>
        </w:rPr>
        <w:t>LEYENDA DEL PROSPECTO PRELIMINAR.</w:t>
      </w:r>
    </w:p>
    <w:p w:rsidR="00B3331D" w:rsidRPr="00451DB5" w:rsidRDefault="00B3331D" w:rsidP="00B3331D">
      <w:pPr>
        <w:suppressAutoHyphens/>
        <w:spacing w:line="360" w:lineRule="auto"/>
        <w:rPr>
          <w:rFonts w:ascii="Times New Roman" w:hAnsi="Times New Roman"/>
          <w:szCs w:val="24"/>
          <w:lang w:val="es-AR" w:eastAsia="es-AR"/>
        </w:rPr>
      </w:pPr>
      <w:r w:rsidRPr="00451DB5">
        <w:rPr>
          <w:rFonts w:ascii="Times New Roman" w:hAnsi="Times New Roman"/>
          <w:szCs w:val="24"/>
          <w:lang w:val="es-AR" w:eastAsia="es-AR"/>
        </w:rPr>
        <w:t>En caso de distribuirse un prospecto preliminar, deberá́ consignar la siguiente advertencia en su primera página, en caracteres destacados:</w:t>
      </w:r>
    </w:p>
    <w:p w:rsidR="00B3331D" w:rsidRPr="00451DB5" w:rsidRDefault="00B3331D" w:rsidP="00B3331D">
      <w:pPr>
        <w:suppressAutoHyphens/>
        <w:spacing w:line="360" w:lineRule="auto"/>
        <w:rPr>
          <w:rFonts w:ascii="Times New Roman" w:hAnsi="Times New Roman"/>
          <w:szCs w:val="24"/>
          <w:lang w:val="es-AR" w:eastAsia="es-AR"/>
        </w:rPr>
      </w:pPr>
      <w:r w:rsidRPr="00451DB5">
        <w:rPr>
          <w:rFonts w:ascii="Times New Roman" w:hAnsi="Times New Roman"/>
          <w:szCs w:val="24"/>
          <w:lang w:val="es-AR" w:eastAsia="es-AR"/>
        </w:rPr>
        <w:lastRenderedPageBreak/>
        <w:t xml:space="preserve">“El presente prospecto preliminar es distribuido al sólo efecto informativo. La emisión ha sido solicitada a la Comisión Nacional de Valores el........... </w:t>
      </w:r>
      <w:proofErr w:type="gramStart"/>
      <w:r w:rsidRPr="00451DB5">
        <w:rPr>
          <w:rFonts w:ascii="Times New Roman" w:hAnsi="Times New Roman"/>
          <w:szCs w:val="24"/>
          <w:lang w:val="es-AR" w:eastAsia="es-AR"/>
        </w:rPr>
        <w:t>y</w:t>
      </w:r>
      <w:proofErr w:type="gramEnd"/>
      <w:r w:rsidRPr="00451DB5">
        <w:rPr>
          <w:rFonts w:ascii="Times New Roman" w:hAnsi="Times New Roman"/>
          <w:szCs w:val="24"/>
          <w:lang w:val="es-AR" w:eastAsia="es-AR"/>
        </w:rPr>
        <w:t xml:space="preserve"> hasta el momento ella no ha sido otorgada. La información contenida en este prospecto está sujeta a cambios y modificaciones y no puede ser considerada como definitiva. Este prospecto no constituye una oferta de venta, ni una invitación a formular ofertas de compra, ni podrán efectuarse compras o ventas de las obligaciones negociables aquí referidas hasta tanto su oferta pública no haya sido autorizada. Una vez otorgada esa autorización, sólo podrán negociarse públicamente en Mercados autorizados del país”.</w:t>
      </w:r>
    </w:p>
    <w:p w:rsidR="00B3331D" w:rsidRPr="00451DB5" w:rsidRDefault="00B3331D" w:rsidP="00B3331D">
      <w:pPr>
        <w:pStyle w:val="10-AnexoSub"/>
        <w:rPr>
          <w:lang/>
        </w:rPr>
      </w:pPr>
      <w:r w:rsidRPr="00451DB5">
        <w:rPr>
          <w:lang w:eastAsia="es-AR"/>
        </w:rPr>
        <w:t>PROSPECTO:</w:t>
      </w:r>
    </w:p>
    <w:p w:rsidR="00B3331D" w:rsidRPr="00451DB5" w:rsidRDefault="00B3331D" w:rsidP="00B3331D">
      <w:pPr>
        <w:pStyle w:val="10-AnexoSub"/>
        <w:rPr>
          <w:lang w:eastAsia="es-AR"/>
        </w:rPr>
      </w:pPr>
      <w:r w:rsidRPr="00451DB5">
        <w:rPr>
          <w:lang w:eastAsia="es-AR"/>
        </w:rPr>
        <w:t>I. DESCRIPCIÓN DE LA EMISORA</w:t>
      </w:r>
    </w:p>
    <w:p w:rsidR="00B3331D" w:rsidRPr="00451DB5" w:rsidRDefault="00B3331D" w:rsidP="00B3331D">
      <w:pPr>
        <w:numPr>
          <w:ilvl w:val="0"/>
          <w:numId w:val="2"/>
        </w:numPr>
        <w:suppressAutoHyphens/>
        <w:spacing w:line="360" w:lineRule="auto"/>
        <w:ind w:left="426" w:hanging="426"/>
        <w:jc w:val="left"/>
        <w:rPr>
          <w:rFonts w:ascii="Times New Roman" w:hAnsi="Times New Roman"/>
          <w:szCs w:val="24"/>
          <w:lang w:val="es-AR" w:eastAsia="es-AR"/>
        </w:rPr>
      </w:pPr>
      <w:r w:rsidRPr="00451DB5">
        <w:rPr>
          <w:rFonts w:ascii="Times New Roman" w:hAnsi="Times New Roman"/>
          <w:szCs w:val="24"/>
          <w:lang w:val="es-AR" w:eastAsia="es-AR"/>
        </w:rPr>
        <w:t>Denominación social o razón social.</w:t>
      </w:r>
    </w:p>
    <w:p w:rsidR="00B3331D" w:rsidRPr="00451DB5" w:rsidRDefault="00B3331D" w:rsidP="00B3331D">
      <w:pPr>
        <w:numPr>
          <w:ilvl w:val="0"/>
          <w:numId w:val="2"/>
        </w:numPr>
        <w:suppressAutoHyphens/>
        <w:spacing w:line="360" w:lineRule="auto"/>
        <w:ind w:left="426" w:hanging="426"/>
        <w:jc w:val="left"/>
        <w:rPr>
          <w:rFonts w:ascii="Times New Roman" w:hAnsi="Times New Roman"/>
          <w:szCs w:val="24"/>
          <w:lang w:val="es-AR" w:eastAsia="es-AR"/>
        </w:rPr>
      </w:pPr>
      <w:r w:rsidRPr="00451DB5">
        <w:rPr>
          <w:rFonts w:ascii="Times New Roman" w:hAnsi="Times New Roman"/>
          <w:szCs w:val="24"/>
          <w:lang w:val="es-AR" w:eastAsia="es-AR"/>
        </w:rPr>
        <w:t>Sede inscripta.</w:t>
      </w:r>
    </w:p>
    <w:p w:rsidR="00B3331D" w:rsidRPr="00451DB5" w:rsidRDefault="00B3331D" w:rsidP="00B3331D">
      <w:pPr>
        <w:numPr>
          <w:ilvl w:val="0"/>
          <w:numId w:val="2"/>
        </w:numPr>
        <w:suppressAutoHyphens/>
        <w:spacing w:line="360" w:lineRule="auto"/>
        <w:ind w:left="426" w:hanging="426"/>
        <w:jc w:val="left"/>
        <w:rPr>
          <w:rFonts w:ascii="Times New Roman" w:hAnsi="Times New Roman"/>
          <w:szCs w:val="24"/>
          <w:lang w:val="es-AR" w:eastAsia="es-AR"/>
        </w:rPr>
      </w:pPr>
      <w:r w:rsidRPr="00451DB5">
        <w:rPr>
          <w:rFonts w:ascii="Times New Roman" w:hAnsi="Times New Roman"/>
          <w:szCs w:val="24"/>
          <w:lang w:val="es-AR" w:eastAsia="es-AR"/>
        </w:rPr>
        <w:t>Fecha de constitución, plazo de duración y datos de inscripción en el Registro Público u Organismo correspondiente.</w:t>
      </w:r>
    </w:p>
    <w:p w:rsidR="00B3331D" w:rsidRPr="00451DB5" w:rsidRDefault="00B3331D" w:rsidP="00B3331D">
      <w:pPr>
        <w:numPr>
          <w:ilvl w:val="0"/>
          <w:numId w:val="2"/>
        </w:numPr>
        <w:suppressAutoHyphens/>
        <w:spacing w:line="360" w:lineRule="auto"/>
        <w:ind w:left="426" w:hanging="426"/>
        <w:jc w:val="left"/>
        <w:rPr>
          <w:rFonts w:ascii="Times New Roman" w:hAnsi="Times New Roman"/>
          <w:szCs w:val="24"/>
          <w:lang w:val="es-AR" w:eastAsia="es-AR"/>
        </w:rPr>
      </w:pPr>
      <w:r w:rsidRPr="00451DB5">
        <w:rPr>
          <w:rFonts w:ascii="Times New Roman" w:hAnsi="Times New Roman"/>
          <w:szCs w:val="24"/>
          <w:lang w:val="es-AR" w:eastAsia="es-AR"/>
        </w:rPr>
        <w:t>Actividad principal (breve descripción) incluyendo la clasificación de la actividad principal y las provincias en las que desarrolla su actividad.</w:t>
      </w:r>
    </w:p>
    <w:p w:rsidR="00B3331D" w:rsidRPr="00451DB5" w:rsidRDefault="00B3331D" w:rsidP="00B3331D">
      <w:pPr>
        <w:numPr>
          <w:ilvl w:val="0"/>
          <w:numId w:val="2"/>
        </w:numPr>
        <w:suppressAutoHyphens/>
        <w:spacing w:line="360" w:lineRule="auto"/>
        <w:ind w:left="426" w:hanging="426"/>
        <w:jc w:val="left"/>
        <w:rPr>
          <w:rFonts w:ascii="Times New Roman" w:hAnsi="Times New Roman"/>
          <w:szCs w:val="24"/>
          <w:lang w:val="es-AR" w:eastAsia="es-AR"/>
        </w:rPr>
      </w:pPr>
      <w:r w:rsidRPr="00451DB5">
        <w:rPr>
          <w:rFonts w:ascii="Times New Roman" w:hAnsi="Times New Roman"/>
          <w:szCs w:val="24"/>
          <w:lang w:val="es-AR" w:eastAsia="es-AR"/>
        </w:rPr>
        <w:t>Monto promedio de los ingresos totales anuales de acuerdo a la definición PYME CNV según Normas de la Comisión Nacional de Valores y pasivo total de la emisora según último balance.</w:t>
      </w:r>
    </w:p>
    <w:p w:rsidR="00B3331D" w:rsidRPr="00451DB5" w:rsidRDefault="00B3331D" w:rsidP="00B3331D">
      <w:pPr>
        <w:pStyle w:val="10-AnexoSub"/>
        <w:rPr>
          <w:lang w:eastAsia="es-AR"/>
        </w:rPr>
      </w:pPr>
      <w:r w:rsidRPr="00451DB5">
        <w:rPr>
          <w:lang w:eastAsia="es-AR"/>
        </w:rPr>
        <w:t>II. CONDICIONES DE EMISIÓN.</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Monto, moneda de emisión y pago, y valor nominal unitario.</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 xml:space="preserve">Forma de colocación y plazo. Deberá consignarse método de Subasta o Licitación Pública de acuerdo a las Normas CNV. </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Fecha y lugar de integración.</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Fecha de vencimiento.</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Amortización y fechas de pago de capital.</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Monto mínimo de suscripción.</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Tasa de interés y fechas de pago de interés.</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Agente de Registro y Pago.</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Pagos de los Servicios: Aquí deberá consignarse “La amortización y pagos de los intereses correspondientes a las obligaciones negociables, serán efectuados por el emisor mediante la transferencia de los importes correspondientes al Agente de Registro y Pago indicado en el apartado h) anterior para su acreditación en las cuentas de los tenedores con derecho a cobro”.</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lastRenderedPageBreak/>
        <w:t>Destino de los fondos: Aquí deberá optarse por alguna o algunas de las siguientes alternativas: (i) inversiones en activos físicos situados en el país; (ii) integración de capital de trabajo en el país; (iii) refinanciación de pasivos; o (iv) aporte a sociedades con mismo fin, indicando los montos previstos para cada uno de ellos.</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Mercados autorizados en los que se ofrecerán los valores negociables.</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Órganos y fechas en las que se dispuso el ingreso a la oferta pública (en su caso), la emisión y las condiciones de la misma, así como el destino de los fondos.</w:t>
      </w:r>
    </w:p>
    <w:p w:rsidR="00B3331D" w:rsidRPr="00451DB5" w:rsidRDefault="00B3331D" w:rsidP="00B3331D">
      <w:pPr>
        <w:numPr>
          <w:ilvl w:val="0"/>
          <w:numId w:val="3"/>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Agentes y todo otro interviniente en el proceso de emisión y colocación y gastos correspondientes.</w:t>
      </w:r>
    </w:p>
    <w:p w:rsidR="00B3331D" w:rsidRPr="00451DB5" w:rsidRDefault="00B3331D" w:rsidP="00B3331D">
      <w:pPr>
        <w:pStyle w:val="10-AnexoSub"/>
        <w:rPr>
          <w:lang w:eastAsia="es-AR"/>
        </w:rPr>
      </w:pPr>
      <w:r w:rsidRPr="00451DB5">
        <w:rPr>
          <w:lang w:eastAsia="es-AR"/>
        </w:rPr>
        <w:t>III. GARANTÍA</w:t>
      </w:r>
    </w:p>
    <w:p w:rsidR="00B3331D" w:rsidRPr="00451DB5" w:rsidRDefault="00B3331D" w:rsidP="00B3331D">
      <w:pPr>
        <w:numPr>
          <w:ilvl w:val="0"/>
          <w:numId w:val="4"/>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Denominación Social de/ la/s Entidad/es de Garantía: Deberá consignarse la denominación social de la Entidad de Garantía y que la misma es otorgada en carácter garante de “liso, llano y principal pagador” de las Obligaciones Negociables garantizadas con renuncia al beneficio de excusión y división. En caso de que la emisión esté garantizada por más de una Entidad de Garantía, deberán indicarse adicionalmente a la denominación social de cada una, en qué porcentaje de la deuda asume cada una con dicho carácter y que la garantía se otorga en carácter de “liso, llano y principal pagador y con renuncia a los beneficios de excusión y división, en este último caso solo respecto de la Emisora.</w:t>
      </w:r>
    </w:p>
    <w:p w:rsidR="00B3331D" w:rsidRPr="00451DB5" w:rsidRDefault="00B3331D" w:rsidP="00B3331D">
      <w:pPr>
        <w:numPr>
          <w:ilvl w:val="0"/>
          <w:numId w:val="4"/>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 xml:space="preserve">Naturaleza de la Garantía: Aquí deberá consignarse “Garantía Común”. </w:t>
      </w:r>
    </w:p>
    <w:p w:rsidR="00B3331D" w:rsidRPr="00451DB5" w:rsidRDefault="00B3331D" w:rsidP="00B3331D">
      <w:pPr>
        <w:numPr>
          <w:ilvl w:val="0"/>
          <w:numId w:val="4"/>
        </w:numPr>
        <w:suppressAutoHyphens/>
        <w:spacing w:line="360" w:lineRule="auto"/>
        <w:jc w:val="left"/>
        <w:rPr>
          <w:rFonts w:ascii="Times New Roman" w:hAnsi="Times New Roman"/>
          <w:szCs w:val="24"/>
          <w:lang w:val="es-AR" w:eastAsia="es-AR"/>
        </w:rPr>
      </w:pPr>
      <w:r w:rsidRPr="00451DB5">
        <w:rPr>
          <w:rFonts w:ascii="Times New Roman" w:hAnsi="Times New Roman"/>
          <w:szCs w:val="24"/>
          <w:lang w:val="es-AR" w:eastAsia="es-AR"/>
        </w:rPr>
        <w:t>Información sobre la Entidad de Garantía, expresados en pesos, a la fecha de emisión del prospecto: fondo de riesgo o capital afectado a garantizar deuda de Pymes total computable o integrado; fondo de riesgo o capital afectado a garantizar deuda de Pymes disponible; fondo de riesgo o capital afectado a garantizar deuda de Pymes contingente; grado de apalancamiento (riesgo vivo / fondo de riesgo o capital afectado a garantizar deuda de Pymes total computable o  integrado), informe de calificación de riesgo vigente, en su caso.</w:t>
      </w:r>
    </w:p>
    <w:p w:rsidR="00B3331D" w:rsidRPr="00451DB5" w:rsidRDefault="00B3331D" w:rsidP="00B3331D">
      <w:pPr>
        <w:suppressAutoHyphens/>
        <w:spacing w:line="360" w:lineRule="auto"/>
        <w:jc w:val="left"/>
        <w:rPr>
          <w:rFonts w:ascii="Times New Roman" w:hAnsi="Times New Roman"/>
          <w:szCs w:val="24"/>
          <w:lang w:val="es-AR" w:eastAsia="ar-SA"/>
        </w:rPr>
      </w:pPr>
      <w:r w:rsidRPr="00451DB5">
        <w:rPr>
          <w:rFonts w:ascii="Times New Roman" w:hAnsi="Times New Roman"/>
          <w:szCs w:val="24"/>
          <w:lang w:val="es-AR" w:eastAsia="es-AR"/>
        </w:rPr>
        <w:t>(En aquellos casos en los que el presente prospecto tenga el carácter de definitivo todas las páginas deberán estar firmadas por persona con facultades suficientes para obligar al emisor).</w:t>
      </w:r>
    </w:p>
    <w:p w:rsidR="00B3331D" w:rsidRPr="00451DB5" w:rsidRDefault="00B3331D" w:rsidP="00B3331D">
      <w:pPr>
        <w:suppressAutoHyphens/>
        <w:autoSpaceDE w:val="0"/>
        <w:autoSpaceDN w:val="0"/>
        <w:adjustRightInd w:val="0"/>
        <w:spacing w:line="360" w:lineRule="auto"/>
        <w:rPr>
          <w:rFonts w:ascii="Times New Roman" w:hAnsi="Times New Roman"/>
          <w:szCs w:val="24"/>
          <w:lang w:val="es-ES" w:eastAsia="es-AR"/>
        </w:rPr>
      </w:pPr>
    </w:p>
    <w:p w:rsidR="00B3331D" w:rsidRPr="00451DB5" w:rsidRDefault="00B3331D" w:rsidP="00B3331D">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rPr>
          <w:rFonts w:ascii="Times New Roman" w:hAnsi="Times New Roman"/>
          <w:bCs/>
          <w:szCs w:val="24"/>
          <w:lang w:val="es-ES" w:eastAsia="es-AR"/>
        </w:rPr>
      </w:pPr>
    </w:p>
    <w:p w:rsidR="009E1733" w:rsidRPr="00B3331D" w:rsidRDefault="009E1733">
      <w:pPr>
        <w:rPr>
          <w:lang w:val="es-ES"/>
        </w:rPr>
      </w:pPr>
      <w:bookmarkStart w:id="0" w:name="_GoBack"/>
      <w:bookmarkEnd w:id="0"/>
    </w:p>
    <w:sectPr w:rsidR="009E1733" w:rsidRPr="00B3331D" w:rsidSect="001C5D0A">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24" w:rsidRDefault="00083E24" w:rsidP="001C5D0A">
      <w:r>
        <w:separator/>
      </w:r>
    </w:p>
  </w:endnote>
  <w:endnote w:type="continuationSeparator" w:id="0">
    <w:p w:rsidR="00083E24" w:rsidRDefault="00083E24" w:rsidP="001C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24" w:rsidRDefault="00083E24" w:rsidP="001C5D0A">
      <w:r>
        <w:separator/>
      </w:r>
    </w:p>
  </w:footnote>
  <w:footnote w:type="continuationSeparator" w:id="0">
    <w:p w:rsidR="00083E24" w:rsidRDefault="00083E24" w:rsidP="001C5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6B8"/>
    <w:multiLevelType w:val="hybridMultilevel"/>
    <w:tmpl w:val="C90A211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753209"/>
    <w:multiLevelType w:val="hybridMultilevel"/>
    <w:tmpl w:val="326CC7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5E864FB"/>
    <w:multiLevelType w:val="hybridMultilevel"/>
    <w:tmpl w:val="F1086072"/>
    <w:lvl w:ilvl="0" w:tplc="E048AE52">
      <w:numFmt w:val="bullet"/>
      <w:lvlText w:val="-"/>
      <w:lvlJc w:val="left"/>
      <w:pPr>
        <w:ind w:left="420" w:hanging="360"/>
      </w:pPr>
      <w:rPr>
        <w:rFonts w:ascii="Verdana" w:eastAsia="Times New Roman" w:hAnsi="Verdana"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3">
    <w:nsid w:val="3B2E23B2"/>
    <w:multiLevelType w:val="hybridMultilevel"/>
    <w:tmpl w:val="3C3E985C"/>
    <w:lvl w:ilvl="0" w:tplc="8420657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0A"/>
    <w:rsid w:val="00083E24"/>
    <w:rsid w:val="001C5D0A"/>
    <w:rsid w:val="009E1733"/>
    <w:rsid w:val="00B333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1D"/>
    <w:pPr>
      <w:spacing w:after="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5D0A"/>
    <w:rPr>
      <w:sz w:val="20"/>
    </w:rPr>
  </w:style>
  <w:style w:type="character" w:customStyle="1" w:styleId="TextonotapieCar">
    <w:name w:val="Texto nota pie Car"/>
    <w:basedOn w:val="Fuentedeprrafopredeter"/>
    <w:link w:val="Textonotapie"/>
    <w:uiPriority w:val="99"/>
    <w:semiHidden/>
    <w:rsid w:val="001C5D0A"/>
    <w:rPr>
      <w:sz w:val="20"/>
      <w:szCs w:val="20"/>
    </w:rPr>
  </w:style>
  <w:style w:type="character" w:styleId="Refdenotaalpie">
    <w:name w:val="footnote reference"/>
    <w:uiPriority w:val="99"/>
    <w:rsid w:val="001C5D0A"/>
    <w:rPr>
      <w:vertAlign w:val="superscript"/>
    </w:rPr>
  </w:style>
  <w:style w:type="paragraph" w:customStyle="1" w:styleId="10-AnexoSub">
    <w:name w:val="10 - Anexo Sub"/>
    <w:link w:val="10-AnexoSubChar"/>
    <w:qFormat/>
    <w:rsid w:val="00B3331D"/>
    <w:pPr>
      <w:tabs>
        <w:tab w:val="left" w:pos="708"/>
        <w:tab w:val="left" w:pos="1416"/>
        <w:tab w:val="left" w:pos="2124"/>
        <w:tab w:val="left" w:pos="2832"/>
        <w:tab w:val="left" w:pos="3540"/>
        <w:tab w:val="left" w:pos="4248"/>
        <w:tab w:val="left" w:pos="4956"/>
        <w:tab w:val="left" w:pos="6564"/>
      </w:tabs>
      <w:autoSpaceDE w:val="0"/>
      <w:autoSpaceDN w:val="0"/>
      <w:adjustRightInd w:val="0"/>
      <w:spacing w:after="0" w:line="240" w:lineRule="auto"/>
      <w:jc w:val="both"/>
      <w:outlineLvl w:val="2"/>
    </w:pPr>
    <w:rPr>
      <w:rFonts w:ascii="Arial" w:eastAsia="Times New Roman" w:hAnsi="Arial" w:cs="Times New Roman"/>
      <w:b/>
      <w:bCs/>
      <w:caps/>
      <w:color w:val="404040"/>
      <w:lang w:val="es-ES" w:eastAsia="es-ES"/>
    </w:rPr>
  </w:style>
  <w:style w:type="character" w:customStyle="1" w:styleId="10-AnexoSubChar">
    <w:name w:val="10 - Anexo Sub Char"/>
    <w:link w:val="10-AnexoSub"/>
    <w:rsid w:val="00B3331D"/>
    <w:rPr>
      <w:rFonts w:ascii="Arial" w:eastAsia="Times New Roman" w:hAnsi="Arial" w:cs="Times New Roman"/>
      <w:b/>
      <w:bCs/>
      <w:caps/>
      <w:color w:val="40404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1D"/>
    <w:pPr>
      <w:spacing w:after="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5D0A"/>
    <w:rPr>
      <w:sz w:val="20"/>
    </w:rPr>
  </w:style>
  <w:style w:type="character" w:customStyle="1" w:styleId="TextonotapieCar">
    <w:name w:val="Texto nota pie Car"/>
    <w:basedOn w:val="Fuentedeprrafopredeter"/>
    <w:link w:val="Textonotapie"/>
    <w:uiPriority w:val="99"/>
    <w:semiHidden/>
    <w:rsid w:val="001C5D0A"/>
    <w:rPr>
      <w:sz w:val="20"/>
      <w:szCs w:val="20"/>
    </w:rPr>
  </w:style>
  <w:style w:type="character" w:styleId="Refdenotaalpie">
    <w:name w:val="footnote reference"/>
    <w:uiPriority w:val="99"/>
    <w:rsid w:val="001C5D0A"/>
    <w:rPr>
      <w:vertAlign w:val="superscript"/>
    </w:rPr>
  </w:style>
  <w:style w:type="paragraph" w:customStyle="1" w:styleId="10-AnexoSub">
    <w:name w:val="10 - Anexo Sub"/>
    <w:link w:val="10-AnexoSubChar"/>
    <w:qFormat/>
    <w:rsid w:val="00B3331D"/>
    <w:pPr>
      <w:tabs>
        <w:tab w:val="left" w:pos="708"/>
        <w:tab w:val="left" w:pos="1416"/>
        <w:tab w:val="left" w:pos="2124"/>
        <w:tab w:val="left" w:pos="2832"/>
        <w:tab w:val="left" w:pos="3540"/>
        <w:tab w:val="left" w:pos="4248"/>
        <w:tab w:val="left" w:pos="4956"/>
        <w:tab w:val="left" w:pos="6564"/>
      </w:tabs>
      <w:autoSpaceDE w:val="0"/>
      <w:autoSpaceDN w:val="0"/>
      <w:adjustRightInd w:val="0"/>
      <w:spacing w:after="0" w:line="240" w:lineRule="auto"/>
      <w:jc w:val="both"/>
      <w:outlineLvl w:val="2"/>
    </w:pPr>
    <w:rPr>
      <w:rFonts w:ascii="Arial" w:eastAsia="Times New Roman" w:hAnsi="Arial" w:cs="Times New Roman"/>
      <w:b/>
      <w:bCs/>
      <w:caps/>
      <w:color w:val="404040"/>
      <w:lang w:val="es-ES" w:eastAsia="es-ES"/>
    </w:rPr>
  </w:style>
  <w:style w:type="character" w:customStyle="1" w:styleId="10-AnexoSubChar">
    <w:name w:val="10 - Anexo Sub Char"/>
    <w:link w:val="10-AnexoSub"/>
    <w:rsid w:val="00B3331D"/>
    <w:rPr>
      <w:rFonts w:ascii="Arial" w:eastAsia="Times New Roman" w:hAnsi="Arial" w:cs="Times New Roman"/>
      <w:b/>
      <w:bCs/>
      <w:caps/>
      <w:color w:val="40404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Ingacio Mesples</dc:creator>
  <cp:lastModifiedBy>Ingacio Mesples</cp:lastModifiedBy>
  <cp:revision>2</cp:revision>
  <dcterms:created xsi:type="dcterms:W3CDTF">2017-06-30T17:26:00Z</dcterms:created>
  <dcterms:modified xsi:type="dcterms:W3CDTF">2017-06-30T17:26:00Z</dcterms:modified>
</cp:coreProperties>
</file>