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10" w:rsidRPr="001A3EEB" w:rsidRDefault="001A3EEB" w:rsidP="001A3EEB">
      <w:pPr>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Acta de </w:t>
      </w:r>
      <w:r w:rsidR="00C30996">
        <w:rPr>
          <w:rFonts w:ascii="Times New Roman" w:hAnsi="Times New Roman" w:cs="Times New Roman"/>
          <w:b/>
          <w:sz w:val="24"/>
          <w:szCs w:val="24"/>
          <w:lang w:val="es-MX"/>
        </w:rPr>
        <w:t>Gerente</w:t>
      </w:r>
      <w:r w:rsidR="00EA1792">
        <w:rPr>
          <w:rFonts w:ascii="Times New Roman" w:hAnsi="Times New Roman" w:cs="Times New Roman"/>
          <w:b/>
          <w:sz w:val="24"/>
          <w:szCs w:val="24"/>
          <w:lang w:val="es-MX"/>
        </w:rPr>
        <w:t>/</w:t>
      </w:r>
      <w:r w:rsidR="00C30996">
        <w:rPr>
          <w:rFonts w:ascii="Times New Roman" w:hAnsi="Times New Roman" w:cs="Times New Roman"/>
          <w:b/>
          <w:sz w:val="24"/>
          <w:szCs w:val="24"/>
          <w:lang w:val="es-MX"/>
        </w:rPr>
        <w:t>s</w:t>
      </w:r>
      <w:r w:rsidR="00A7041F">
        <w:rPr>
          <w:rStyle w:val="Refdenotaalpie"/>
          <w:rFonts w:ascii="Times New Roman" w:hAnsi="Times New Roman" w:cs="Times New Roman"/>
          <w:b/>
          <w:sz w:val="24"/>
          <w:szCs w:val="24"/>
          <w:lang w:val="es-MX"/>
        </w:rPr>
        <w:footnoteReference w:id="1"/>
      </w:r>
    </w:p>
    <w:p w:rsidR="001C6782" w:rsidRDefault="00435C70" w:rsidP="00D14F46">
      <w:pPr>
        <w:spacing w:line="360" w:lineRule="auto"/>
        <w:jc w:val="both"/>
        <w:rPr>
          <w:rFonts w:ascii="Times New Roman" w:hAnsi="Times New Roman" w:cs="Times New Roman"/>
          <w:sz w:val="24"/>
          <w:szCs w:val="24"/>
          <w:lang w:val="es-MX"/>
        </w:rPr>
      </w:pPr>
      <w:r w:rsidRPr="001A3EEB">
        <w:rPr>
          <w:rFonts w:ascii="Times New Roman" w:hAnsi="Times New Roman" w:cs="Times New Roman"/>
          <w:sz w:val="24"/>
          <w:szCs w:val="24"/>
          <w:lang w:val="es-MX"/>
        </w:rPr>
        <w:t>En la ciudad de</w:t>
      </w:r>
      <w:r w:rsidR="001A3EEB">
        <w:rPr>
          <w:rFonts w:ascii="Times New Roman" w:hAnsi="Times New Roman" w:cs="Times New Roman"/>
          <w:sz w:val="24"/>
          <w:szCs w:val="24"/>
          <w:lang w:val="es-MX"/>
        </w:rPr>
        <w:t xml:space="preserve"> [</w:t>
      </w:r>
      <w:r w:rsidR="001A3EEB" w:rsidRPr="00341C55">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a los </w:t>
      </w:r>
      <w:r w:rsidR="001A3EEB" w:rsidRPr="00341C55">
        <w:rPr>
          <w:rFonts w:ascii="Times New Roman" w:eastAsia="Times New Roman" w:hAnsi="Times New Roman"/>
          <w:spacing w:val="-3"/>
          <w:sz w:val="24"/>
          <w:szCs w:val="24"/>
          <w:lang w:val="es-ES" w:eastAsia="es-ES"/>
        </w:rPr>
        <w:t>[●]</w:t>
      </w:r>
      <w:r w:rsidR="001A3EEB">
        <w:rPr>
          <w:rFonts w:ascii="Times New Roman" w:eastAsia="Times New Roman" w:hAnsi="Times New Roman"/>
          <w:spacing w:val="-3"/>
          <w:sz w:val="24"/>
          <w:szCs w:val="24"/>
          <w:lang w:val="es-ES" w:eastAsia="es-ES"/>
        </w:rPr>
        <w:t xml:space="preserve"> </w:t>
      </w:r>
      <w:r w:rsidRPr="001A3EEB">
        <w:rPr>
          <w:rFonts w:ascii="Times New Roman" w:hAnsi="Times New Roman" w:cs="Times New Roman"/>
          <w:sz w:val="24"/>
          <w:szCs w:val="24"/>
          <w:lang w:val="es-MX"/>
        </w:rPr>
        <w:t xml:space="preserve">días del mes de </w:t>
      </w:r>
      <w:r w:rsidR="001A3EEB" w:rsidRPr="00341C55">
        <w:rPr>
          <w:rFonts w:ascii="Times New Roman" w:eastAsia="Times New Roman" w:hAnsi="Times New Roman"/>
          <w:spacing w:val="-3"/>
          <w:sz w:val="24"/>
          <w:szCs w:val="24"/>
          <w:lang w:val="es-ES" w:eastAsia="es-ES"/>
        </w:rPr>
        <w:t>[●]</w:t>
      </w:r>
      <w:r w:rsidR="0019210F" w:rsidRPr="001A3EEB">
        <w:rPr>
          <w:rFonts w:ascii="Times New Roman" w:hAnsi="Times New Roman" w:cs="Times New Roman"/>
          <w:sz w:val="24"/>
          <w:szCs w:val="24"/>
          <w:lang w:val="es-MX"/>
        </w:rPr>
        <w:t xml:space="preserve"> </w:t>
      </w:r>
      <w:r w:rsidRPr="001A3EEB">
        <w:rPr>
          <w:rFonts w:ascii="Times New Roman" w:hAnsi="Times New Roman" w:cs="Times New Roman"/>
          <w:sz w:val="24"/>
          <w:szCs w:val="24"/>
          <w:lang w:val="es-MX"/>
        </w:rPr>
        <w:t>de 20</w:t>
      </w:r>
      <w:r w:rsidR="001A3EEB" w:rsidRPr="00341C55">
        <w:rPr>
          <w:rFonts w:ascii="Times New Roman" w:eastAsia="Times New Roman" w:hAnsi="Times New Roman"/>
          <w:spacing w:val="-3"/>
          <w:sz w:val="24"/>
          <w:szCs w:val="24"/>
          <w:lang w:val="es-ES" w:eastAsia="es-ES"/>
        </w:rPr>
        <w:t>[●]</w:t>
      </w:r>
      <w:r w:rsidR="009A6097">
        <w:rPr>
          <w:rStyle w:val="Refdenotaalpie"/>
          <w:rFonts w:ascii="Times New Roman" w:eastAsia="Times New Roman" w:hAnsi="Times New Roman"/>
          <w:spacing w:val="-3"/>
          <w:sz w:val="24"/>
          <w:szCs w:val="24"/>
          <w:lang w:val="es-ES" w:eastAsia="es-ES"/>
        </w:rPr>
        <w:footnoteReference w:id="2"/>
      </w:r>
      <w:r w:rsidR="001A3EEB">
        <w:rPr>
          <w:rFonts w:ascii="Times New Roman" w:eastAsia="Times New Roman" w:hAnsi="Times New Roman"/>
          <w:spacing w:val="-3"/>
          <w:sz w:val="24"/>
          <w:szCs w:val="24"/>
          <w:lang w:val="es-ES" w:eastAsia="es-ES"/>
        </w:rPr>
        <w:t xml:space="preserve"> </w:t>
      </w:r>
      <w:r w:rsidRPr="001A3EEB">
        <w:rPr>
          <w:rFonts w:ascii="Times New Roman" w:hAnsi="Times New Roman" w:cs="Times New Roman"/>
          <w:sz w:val="24"/>
          <w:szCs w:val="24"/>
          <w:lang w:val="es-MX"/>
        </w:rPr>
        <w:t xml:space="preserve">siendo las </w:t>
      </w:r>
      <w:r w:rsidR="001A3EEB">
        <w:rPr>
          <w:rFonts w:ascii="Times New Roman" w:hAnsi="Times New Roman" w:cs="Times New Roman"/>
          <w:sz w:val="24"/>
          <w:szCs w:val="24"/>
          <w:lang w:val="es-MX"/>
        </w:rPr>
        <w:t xml:space="preserve"> </w:t>
      </w:r>
      <w:r w:rsidR="001A3EEB" w:rsidRPr="00341C55">
        <w:rPr>
          <w:rFonts w:ascii="Times New Roman" w:eastAsia="Times New Roman" w:hAnsi="Times New Roman"/>
          <w:spacing w:val="-3"/>
          <w:sz w:val="24"/>
          <w:szCs w:val="24"/>
          <w:lang w:val="es-ES" w:eastAsia="es-ES"/>
        </w:rPr>
        <w:t>[●]</w:t>
      </w:r>
      <w:r w:rsidR="00181E99">
        <w:rPr>
          <w:rStyle w:val="Refdenotaalpie"/>
          <w:rFonts w:ascii="Times New Roman" w:eastAsia="Times New Roman" w:hAnsi="Times New Roman"/>
          <w:spacing w:val="-3"/>
          <w:sz w:val="24"/>
          <w:szCs w:val="24"/>
          <w:lang w:val="es-ES" w:eastAsia="es-ES"/>
        </w:rPr>
        <w:footnoteReference w:id="3"/>
      </w:r>
      <w:r w:rsidR="001A3EEB">
        <w:rPr>
          <w:rFonts w:ascii="Times New Roman" w:eastAsia="Times New Roman" w:hAnsi="Times New Roman"/>
          <w:spacing w:val="-3"/>
          <w:sz w:val="24"/>
          <w:szCs w:val="24"/>
          <w:lang w:val="es-ES" w:eastAsia="es-ES"/>
        </w:rPr>
        <w:t xml:space="preserve"> </w:t>
      </w:r>
      <w:r w:rsidRPr="001A3EEB">
        <w:rPr>
          <w:rFonts w:ascii="Times New Roman" w:hAnsi="Times New Roman" w:cs="Times New Roman"/>
          <w:sz w:val="24"/>
          <w:szCs w:val="24"/>
          <w:lang w:val="es-MX"/>
        </w:rPr>
        <w:t>horas, se reúne en la sede social</w:t>
      </w:r>
      <w:r w:rsidR="009A6097">
        <w:rPr>
          <w:rStyle w:val="Refdenotaalpie"/>
          <w:rFonts w:ascii="Times New Roman" w:hAnsi="Times New Roman" w:cs="Times New Roman"/>
          <w:sz w:val="24"/>
          <w:szCs w:val="24"/>
          <w:lang w:val="es-MX"/>
        </w:rPr>
        <w:footnoteReference w:id="4"/>
      </w:r>
      <w:r w:rsidRPr="001A3EEB">
        <w:rPr>
          <w:rFonts w:ascii="Times New Roman" w:hAnsi="Times New Roman" w:cs="Times New Roman"/>
          <w:sz w:val="24"/>
          <w:szCs w:val="24"/>
          <w:lang w:val="es-MX"/>
        </w:rPr>
        <w:t xml:space="preserve"> de </w:t>
      </w:r>
      <w:r w:rsidR="001A3EEB" w:rsidRPr="00341C55">
        <w:rPr>
          <w:rFonts w:ascii="Times New Roman" w:eastAsia="Times New Roman" w:hAnsi="Times New Roman"/>
          <w:spacing w:val="-3"/>
          <w:sz w:val="24"/>
          <w:szCs w:val="24"/>
          <w:lang w:val="es-ES" w:eastAsia="es-ES"/>
        </w:rPr>
        <w:t>[●]</w:t>
      </w:r>
      <w:r w:rsidR="009A6097">
        <w:rPr>
          <w:rStyle w:val="Refdenotaalpie"/>
          <w:rFonts w:ascii="Times New Roman" w:hAnsi="Times New Roman" w:cs="Times New Roman"/>
          <w:sz w:val="24"/>
          <w:szCs w:val="24"/>
          <w:lang w:val="es-MX"/>
        </w:rPr>
        <w:footnoteReference w:id="5"/>
      </w:r>
      <w:r w:rsidR="0019210F" w:rsidRPr="001A3EEB">
        <w:rPr>
          <w:rFonts w:ascii="Times New Roman" w:hAnsi="Times New Roman" w:cs="Times New Roman"/>
          <w:sz w:val="24"/>
          <w:szCs w:val="24"/>
          <w:lang w:val="es-MX"/>
        </w:rPr>
        <w:t xml:space="preserve"> </w:t>
      </w:r>
      <w:r w:rsidRPr="001A3EEB">
        <w:rPr>
          <w:rFonts w:ascii="Times New Roman" w:hAnsi="Times New Roman" w:cs="Times New Roman"/>
          <w:sz w:val="24"/>
          <w:szCs w:val="24"/>
          <w:lang w:val="es-MX"/>
        </w:rPr>
        <w:t>S.</w:t>
      </w:r>
      <w:r w:rsidR="00C30996">
        <w:rPr>
          <w:rFonts w:ascii="Times New Roman" w:hAnsi="Times New Roman" w:cs="Times New Roman"/>
          <w:sz w:val="24"/>
          <w:szCs w:val="24"/>
          <w:lang w:val="es-MX"/>
        </w:rPr>
        <w:t xml:space="preserve">R.L. </w:t>
      </w:r>
      <w:r w:rsidR="0019210F" w:rsidRPr="001A3EEB">
        <w:rPr>
          <w:rFonts w:ascii="Times New Roman" w:hAnsi="Times New Roman" w:cs="Times New Roman"/>
          <w:sz w:val="24"/>
          <w:szCs w:val="24"/>
          <w:lang w:val="es-MX"/>
        </w:rPr>
        <w:t xml:space="preserve">sita en </w:t>
      </w:r>
      <w:r w:rsidR="009A6097" w:rsidRPr="00341C55">
        <w:rPr>
          <w:rFonts w:ascii="Times New Roman" w:eastAsia="Times New Roman" w:hAnsi="Times New Roman"/>
          <w:spacing w:val="-3"/>
          <w:sz w:val="24"/>
          <w:szCs w:val="24"/>
          <w:lang w:val="es-ES" w:eastAsia="es-ES"/>
        </w:rPr>
        <w:t>[●]</w:t>
      </w:r>
      <w:r w:rsidR="009A6097">
        <w:rPr>
          <w:rStyle w:val="Refdenotaalpie"/>
          <w:rFonts w:ascii="Times New Roman" w:eastAsia="Times New Roman" w:hAnsi="Times New Roman"/>
          <w:spacing w:val="-3"/>
          <w:sz w:val="24"/>
          <w:szCs w:val="24"/>
          <w:lang w:val="es-ES" w:eastAsia="es-ES"/>
        </w:rPr>
        <w:footnoteReference w:id="6"/>
      </w:r>
      <w:r w:rsidR="009A6097">
        <w:rPr>
          <w:rFonts w:ascii="Times New Roman" w:eastAsia="Times New Roman" w:hAnsi="Times New Roman"/>
          <w:spacing w:val="-3"/>
          <w:sz w:val="24"/>
          <w:szCs w:val="24"/>
          <w:lang w:val="es-ES" w:eastAsia="es-ES"/>
        </w:rPr>
        <w:t xml:space="preserve"> </w:t>
      </w:r>
      <w:r w:rsidR="00C30996">
        <w:rPr>
          <w:rFonts w:ascii="Times New Roman" w:hAnsi="Times New Roman" w:cs="Times New Roman"/>
          <w:sz w:val="24"/>
          <w:szCs w:val="24"/>
          <w:lang w:val="es-MX"/>
        </w:rPr>
        <w:t>la</w:t>
      </w:r>
      <w:r w:rsidR="00C30996" w:rsidRPr="001A3EEB">
        <w:rPr>
          <w:rFonts w:ascii="Times New Roman" w:hAnsi="Times New Roman" w:cs="Times New Roman"/>
          <w:sz w:val="24"/>
          <w:szCs w:val="24"/>
          <w:lang w:val="es-MX"/>
        </w:rPr>
        <w:t xml:space="preserve"> </w:t>
      </w:r>
      <w:r w:rsidR="00C30996">
        <w:rPr>
          <w:rFonts w:ascii="Times New Roman" w:hAnsi="Times New Roman" w:cs="Times New Roman"/>
          <w:sz w:val="24"/>
          <w:szCs w:val="24"/>
          <w:lang w:val="es-MX"/>
        </w:rPr>
        <w:t>Gerencia</w:t>
      </w:r>
      <w:r w:rsidRPr="001A3EEB">
        <w:rPr>
          <w:rFonts w:ascii="Times New Roman" w:hAnsi="Times New Roman" w:cs="Times New Roman"/>
          <w:sz w:val="24"/>
          <w:szCs w:val="24"/>
          <w:lang w:val="es-MX"/>
        </w:rPr>
        <w:t xml:space="preserve"> de la misma con la presencia de</w:t>
      </w:r>
      <w:r w:rsidR="00BC0CC2">
        <w:rPr>
          <w:rFonts w:ascii="Times New Roman" w:hAnsi="Times New Roman" w:cs="Times New Roman"/>
          <w:sz w:val="24"/>
          <w:szCs w:val="24"/>
          <w:lang w:val="es-MX"/>
        </w:rPr>
        <w:t xml:space="preserve"> los Sr</w:t>
      </w:r>
      <w:r w:rsidR="008E6FCE">
        <w:rPr>
          <w:rFonts w:ascii="Times New Roman" w:hAnsi="Times New Roman" w:cs="Times New Roman"/>
          <w:sz w:val="24"/>
          <w:szCs w:val="24"/>
          <w:lang w:val="es-MX"/>
        </w:rPr>
        <w:t>/</w:t>
      </w:r>
      <w:r w:rsidR="00BC0CC2">
        <w:rPr>
          <w:rFonts w:ascii="Times New Roman" w:hAnsi="Times New Roman" w:cs="Times New Roman"/>
          <w:sz w:val="24"/>
          <w:szCs w:val="24"/>
          <w:lang w:val="es-MX"/>
        </w:rPr>
        <w:t xml:space="preserve">es. </w:t>
      </w:r>
      <w:r w:rsidR="00C30996">
        <w:rPr>
          <w:rFonts w:ascii="Times New Roman" w:hAnsi="Times New Roman" w:cs="Times New Roman"/>
          <w:sz w:val="24"/>
          <w:szCs w:val="24"/>
          <w:lang w:val="es-MX"/>
        </w:rPr>
        <w:t>Gerente</w:t>
      </w:r>
      <w:r w:rsidR="008E6FCE">
        <w:rPr>
          <w:rFonts w:ascii="Times New Roman" w:hAnsi="Times New Roman" w:cs="Times New Roman"/>
          <w:sz w:val="24"/>
          <w:szCs w:val="24"/>
          <w:lang w:val="es-MX"/>
        </w:rPr>
        <w:t>/</w:t>
      </w:r>
      <w:r w:rsidR="00C30996">
        <w:rPr>
          <w:rFonts w:ascii="Times New Roman" w:hAnsi="Times New Roman" w:cs="Times New Roman"/>
          <w:sz w:val="24"/>
          <w:szCs w:val="24"/>
          <w:lang w:val="es-MX"/>
        </w:rPr>
        <w:t xml:space="preserve">s </w:t>
      </w:r>
      <w:r w:rsidR="009A6097" w:rsidRPr="00341C55">
        <w:rPr>
          <w:rFonts w:ascii="Times New Roman" w:eastAsia="Times New Roman" w:hAnsi="Times New Roman"/>
          <w:spacing w:val="-3"/>
          <w:sz w:val="24"/>
          <w:szCs w:val="24"/>
          <w:lang w:val="es-ES" w:eastAsia="es-ES"/>
        </w:rPr>
        <w:t>[</w:t>
      </w:r>
      <w:r w:rsidR="00C30996">
        <w:rPr>
          <w:rFonts w:ascii="Times New Roman" w:eastAsia="Times New Roman" w:hAnsi="Times New Roman"/>
          <w:spacing w:val="-3"/>
          <w:sz w:val="24"/>
          <w:szCs w:val="24"/>
          <w:lang w:val="es-ES" w:eastAsia="es-ES"/>
        </w:rPr>
        <w:t>XXX</w:t>
      </w:r>
      <w:r w:rsidR="009A6097" w:rsidRPr="00341C55">
        <w:rPr>
          <w:rFonts w:ascii="Times New Roman" w:eastAsia="Times New Roman" w:hAnsi="Times New Roman"/>
          <w:spacing w:val="-3"/>
          <w:sz w:val="24"/>
          <w:szCs w:val="24"/>
          <w:lang w:val="es-ES" w:eastAsia="es-ES"/>
        </w:rPr>
        <w:t>●]</w:t>
      </w:r>
      <w:r w:rsidR="009A6097">
        <w:rPr>
          <w:rStyle w:val="Refdenotaalpie"/>
          <w:rFonts w:ascii="Times New Roman" w:eastAsia="Times New Roman" w:hAnsi="Times New Roman"/>
          <w:spacing w:val="-3"/>
          <w:sz w:val="24"/>
          <w:szCs w:val="24"/>
          <w:lang w:val="es-ES" w:eastAsia="es-ES"/>
        </w:rPr>
        <w:footnoteReference w:id="7"/>
      </w:r>
      <w:r w:rsidR="009A6097">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w:t>
      </w:r>
      <w:r w:rsidR="0019210F" w:rsidRPr="001A3EEB">
        <w:rPr>
          <w:rFonts w:ascii="Times New Roman" w:hAnsi="Times New Roman" w:cs="Times New Roman"/>
          <w:sz w:val="24"/>
          <w:szCs w:val="24"/>
          <w:lang w:val="es-MX"/>
        </w:rPr>
        <w:t xml:space="preserve">Toma la palabra el Sr. </w:t>
      </w:r>
      <w:r w:rsidR="00C30996">
        <w:rPr>
          <w:rFonts w:ascii="Times New Roman" w:hAnsi="Times New Roman" w:cs="Times New Roman"/>
          <w:sz w:val="24"/>
          <w:szCs w:val="24"/>
          <w:lang w:val="es-MX"/>
        </w:rPr>
        <w:t>Gerente XXX</w:t>
      </w:r>
      <w:r w:rsidR="0019210F" w:rsidRPr="001A3EEB">
        <w:rPr>
          <w:rFonts w:ascii="Times New Roman" w:hAnsi="Times New Roman" w:cs="Times New Roman"/>
          <w:sz w:val="24"/>
          <w:szCs w:val="24"/>
          <w:lang w:val="es-MX"/>
        </w:rPr>
        <w:t>, quien</w:t>
      </w:r>
      <w:r w:rsidR="00E17754" w:rsidRPr="001A3EEB">
        <w:rPr>
          <w:rFonts w:ascii="Times New Roman" w:hAnsi="Times New Roman" w:cs="Times New Roman"/>
          <w:sz w:val="24"/>
          <w:szCs w:val="24"/>
          <w:lang w:val="es-MX"/>
        </w:rPr>
        <w:t xml:space="preserve"> declara abierto el acto y somete a consideración el primer punto del Orden del Día: </w:t>
      </w:r>
      <w:r w:rsidR="00E17754" w:rsidRPr="001A3EEB">
        <w:rPr>
          <w:rFonts w:ascii="Times New Roman" w:hAnsi="Times New Roman" w:cs="Times New Roman"/>
          <w:b/>
          <w:sz w:val="24"/>
          <w:szCs w:val="24"/>
          <w:lang w:val="es-MX"/>
        </w:rPr>
        <w:t>1°)</w:t>
      </w:r>
      <w:r w:rsidR="00E17754" w:rsidRPr="001A3EEB">
        <w:rPr>
          <w:rFonts w:ascii="Times New Roman" w:hAnsi="Times New Roman" w:cs="Times New Roman"/>
          <w:sz w:val="24"/>
          <w:szCs w:val="24"/>
          <w:lang w:val="es-MX"/>
        </w:rPr>
        <w:t xml:space="preserve"> </w:t>
      </w:r>
      <w:r w:rsidR="002B2BA5">
        <w:rPr>
          <w:rFonts w:ascii="Times New Roman" w:hAnsi="Times New Roman" w:cs="Times New Roman"/>
          <w:b/>
          <w:sz w:val="24"/>
          <w:szCs w:val="24"/>
          <w:lang w:val="es-MX"/>
        </w:rPr>
        <w:t>“</w:t>
      </w:r>
      <w:r w:rsidR="002B2BA5" w:rsidRPr="00C70B17">
        <w:rPr>
          <w:rFonts w:ascii="Times New Roman" w:hAnsi="Times New Roman" w:cs="Times New Roman"/>
          <w:b/>
          <w:sz w:val="24"/>
          <w:szCs w:val="24"/>
          <w:lang w:val="es-MX"/>
        </w:rPr>
        <w:t xml:space="preserve">Emisión de las Obligaciones Negociables </w:t>
      </w:r>
      <w:r w:rsidR="002B2BA5" w:rsidRPr="0066486D">
        <w:rPr>
          <w:rFonts w:ascii="Times New Roman" w:hAnsi="Times New Roman" w:cs="Times New Roman"/>
          <w:b/>
          <w:sz w:val="24"/>
          <w:szCs w:val="24"/>
          <w:lang w:val="es-MX"/>
        </w:rPr>
        <w:t>para Régimen PYME CNV Garantizada</w:t>
      </w:r>
      <w:r w:rsidR="002B2BA5">
        <w:rPr>
          <w:rFonts w:ascii="Times New Roman" w:hAnsi="Times New Roman" w:cs="Times New Roman"/>
          <w:b/>
          <w:sz w:val="24"/>
          <w:szCs w:val="24"/>
          <w:lang w:val="es-MX"/>
        </w:rPr>
        <w:t>”</w:t>
      </w:r>
      <w:r w:rsidR="00C70B17">
        <w:rPr>
          <w:rFonts w:ascii="Times New Roman" w:hAnsi="Times New Roman" w:cs="Times New Roman"/>
          <w:b/>
          <w:sz w:val="24"/>
          <w:szCs w:val="24"/>
          <w:lang w:val="es-MX"/>
        </w:rPr>
        <w:t xml:space="preserve">. </w:t>
      </w:r>
      <w:r w:rsidR="00E17754" w:rsidRPr="001A3EEB">
        <w:rPr>
          <w:rFonts w:ascii="Times New Roman" w:hAnsi="Times New Roman" w:cs="Times New Roman"/>
          <w:sz w:val="24"/>
          <w:szCs w:val="24"/>
          <w:lang w:val="es-MX"/>
        </w:rPr>
        <w:t xml:space="preserve">Toma la palabra el Sr. </w:t>
      </w:r>
      <w:r w:rsidR="00C30996">
        <w:rPr>
          <w:rFonts w:ascii="Times New Roman" w:hAnsi="Times New Roman" w:cs="Times New Roman"/>
          <w:sz w:val="24"/>
          <w:szCs w:val="24"/>
          <w:lang w:val="es-MX"/>
        </w:rPr>
        <w:t>Gerente XXX</w:t>
      </w:r>
      <w:r w:rsidR="00E17754" w:rsidRPr="001A3EEB">
        <w:rPr>
          <w:rFonts w:ascii="Times New Roman" w:hAnsi="Times New Roman" w:cs="Times New Roman"/>
          <w:sz w:val="24"/>
          <w:szCs w:val="24"/>
          <w:lang w:val="es-MX"/>
        </w:rPr>
        <w:t xml:space="preserve">, quien manifiesta que </w:t>
      </w:r>
      <w:r w:rsidR="00695AB6" w:rsidRPr="001A3EEB">
        <w:rPr>
          <w:rFonts w:ascii="Times New Roman" w:hAnsi="Times New Roman" w:cs="Times New Roman"/>
          <w:sz w:val="24"/>
          <w:szCs w:val="24"/>
          <w:lang w:val="es-MX"/>
        </w:rPr>
        <w:t xml:space="preserve">los </w:t>
      </w:r>
      <w:r w:rsidR="00C30996">
        <w:rPr>
          <w:rFonts w:ascii="Times New Roman" w:hAnsi="Times New Roman" w:cs="Times New Roman"/>
          <w:sz w:val="24"/>
          <w:szCs w:val="24"/>
          <w:lang w:val="es-MX"/>
        </w:rPr>
        <w:t>socios</w:t>
      </w:r>
      <w:r w:rsidR="00C30996" w:rsidRPr="001A3EEB">
        <w:rPr>
          <w:rFonts w:ascii="Times New Roman" w:hAnsi="Times New Roman" w:cs="Times New Roman"/>
          <w:sz w:val="24"/>
          <w:szCs w:val="24"/>
          <w:lang w:val="es-MX"/>
        </w:rPr>
        <w:t xml:space="preserve"> </w:t>
      </w:r>
      <w:r w:rsidR="00695AB6" w:rsidRPr="001A3EEB">
        <w:rPr>
          <w:rFonts w:ascii="Times New Roman" w:hAnsi="Times New Roman" w:cs="Times New Roman"/>
          <w:sz w:val="24"/>
          <w:szCs w:val="24"/>
          <w:lang w:val="es-MX"/>
        </w:rPr>
        <w:t xml:space="preserve">de la Sociedad aprobaron </w:t>
      </w:r>
      <w:r w:rsidRPr="001A3EEB">
        <w:rPr>
          <w:rFonts w:ascii="Times New Roman" w:hAnsi="Times New Roman" w:cs="Times New Roman"/>
          <w:sz w:val="24"/>
          <w:szCs w:val="24"/>
          <w:lang w:val="es-MX"/>
        </w:rPr>
        <w:t>e</w:t>
      </w:r>
      <w:r w:rsidR="00695AB6" w:rsidRPr="001A3EEB">
        <w:rPr>
          <w:rFonts w:ascii="Times New Roman" w:hAnsi="Times New Roman" w:cs="Times New Roman"/>
          <w:sz w:val="24"/>
          <w:szCs w:val="24"/>
          <w:lang w:val="es-MX"/>
        </w:rPr>
        <w:t>n</w:t>
      </w:r>
      <w:r w:rsidRPr="001A3EEB">
        <w:rPr>
          <w:rFonts w:ascii="Times New Roman" w:hAnsi="Times New Roman" w:cs="Times New Roman"/>
          <w:sz w:val="24"/>
          <w:szCs w:val="24"/>
          <w:lang w:val="es-MX"/>
        </w:rPr>
        <w:t xml:space="preserve"> </w:t>
      </w:r>
      <w:r w:rsidR="00695AB6" w:rsidRPr="001A3EEB">
        <w:rPr>
          <w:rFonts w:ascii="Times New Roman" w:hAnsi="Times New Roman" w:cs="Times New Roman"/>
          <w:sz w:val="24"/>
          <w:szCs w:val="24"/>
          <w:lang w:val="es-MX"/>
        </w:rPr>
        <w:t xml:space="preserve">la </w:t>
      </w:r>
      <w:r w:rsidRPr="001A3EEB">
        <w:rPr>
          <w:rFonts w:ascii="Times New Roman" w:hAnsi="Times New Roman" w:cs="Times New Roman"/>
          <w:sz w:val="24"/>
          <w:szCs w:val="24"/>
          <w:lang w:val="es-MX"/>
        </w:rPr>
        <w:t>Asamblea de</w:t>
      </w:r>
      <w:r w:rsidR="00C30996">
        <w:rPr>
          <w:rFonts w:ascii="Times New Roman" w:hAnsi="Times New Roman" w:cs="Times New Roman"/>
          <w:sz w:val="24"/>
          <w:szCs w:val="24"/>
          <w:lang w:val="es-MX"/>
        </w:rPr>
        <w:t xml:space="preserve"> Socios</w:t>
      </w:r>
      <w:r w:rsidRPr="001A3EEB">
        <w:rPr>
          <w:rFonts w:ascii="Times New Roman" w:hAnsi="Times New Roman" w:cs="Times New Roman"/>
          <w:sz w:val="24"/>
          <w:szCs w:val="24"/>
          <w:lang w:val="es-MX"/>
        </w:rPr>
        <w:t xml:space="preserve"> celebrada el día </w:t>
      </w:r>
      <w:r w:rsidR="002D317D" w:rsidRPr="00341C55">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del mes de </w:t>
      </w:r>
      <w:r w:rsidR="002D317D" w:rsidRPr="00341C55">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de 20</w:t>
      </w:r>
      <w:r w:rsidR="002D317D" w:rsidRPr="00341C55">
        <w:rPr>
          <w:rFonts w:ascii="Times New Roman" w:eastAsia="Times New Roman" w:hAnsi="Times New Roman"/>
          <w:spacing w:val="-3"/>
          <w:sz w:val="24"/>
          <w:szCs w:val="24"/>
          <w:lang w:val="es-ES" w:eastAsia="es-ES"/>
        </w:rPr>
        <w:t>[●]</w:t>
      </w:r>
      <w:r w:rsidR="002D317D">
        <w:rPr>
          <w:rStyle w:val="Refdenotaalpie"/>
          <w:rFonts w:ascii="Times New Roman" w:eastAsia="Times New Roman" w:hAnsi="Times New Roman"/>
          <w:spacing w:val="-3"/>
          <w:sz w:val="24"/>
          <w:szCs w:val="24"/>
          <w:lang w:val="es-ES" w:eastAsia="es-ES"/>
        </w:rPr>
        <w:footnoteReference w:id="8"/>
      </w:r>
      <w:r w:rsidR="002D317D">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w:t>
      </w:r>
      <w:r w:rsidR="002D317D" w:rsidRPr="002D317D">
        <w:rPr>
          <w:rFonts w:ascii="Times New Roman" w:hAnsi="Times New Roman" w:cs="Times New Roman"/>
          <w:sz w:val="24"/>
          <w:szCs w:val="24"/>
        </w:rPr>
        <w:t>solicitar ante la CNV la autorización de ingreso</w:t>
      </w:r>
      <w:r w:rsidR="002D317D" w:rsidRPr="002D317D">
        <w:rPr>
          <w:rFonts w:ascii="Times New Roman" w:hAnsi="Times New Roman" w:cs="Times New Roman"/>
          <w:sz w:val="24"/>
          <w:szCs w:val="24"/>
          <w:vertAlign w:val="superscript"/>
        </w:rPr>
        <w:footnoteReference w:id="9"/>
      </w:r>
      <w:r w:rsidR="002D317D" w:rsidRPr="002D317D">
        <w:rPr>
          <w:rFonts w:ascii="Times New Roman" w:hAnsi="Times New Roman" w:cs="Times New Roman"/>
          <w:sz w:val="24"/>
          <w:szCs w:val="24"/>
        </w:rPr>
        <w:t xml:space="preserve"> a la Oferta Pública de la Sociedad y la consecuente emisión de Obligaciones Negociables </w:t>
      </w:r>
      <w:r w:rsidR="0066486D" w:rsidRPr="0066486D">
        <w:rPr>
          <w:rFonts w:ascii="Times New Roman" w:hAnsi="Times New Roman" w:cs="Times New Roman"/>
          <w:sz w:val="24"/>
          <w:szCs w:val="24"/>
          <w:lang w:val="es-MX"/>
        </w:rPr>
        <w:t>para Régimen PYME CNV Garantizada</w:t>
      </w:r>
      <w:r w:rsidR="001C6782">
        <w:rPr>
          <w:rFonts w:ascii="Times New Roman" w:hAnsi="Times New Roman"/>
          <w:sz w:val="24"/>
          <w:szCs w:val="24"/>
        </w:rPr>
        <w:t xml:space="preserve">. </w:t>
      </w:r>
      <w:r w:rsidR="001C6782">
        <w:rPr>
          <w:rFonts w:ascii="Times New Roman" w:hAnsi="Times New Roman" w:cs="Times New Roman"/>
          <w:sz w:val="24"/>
          <w:szCs w:val="24"/>
          <w:lang w:val="es-MX"/>
        </w:rPr>
        <w:t xml:space="preserve">En tal sentido, </w:t>
      </w:r>
      <w:r w:rsidR="006610FA">
        <w:rPr>
          <w:rFonts w:ascii="Times New Roman" w:hAnsi="Times New Roman" w:cs="Times New Roman"/>
          <w:sz w:val="24"/>
          <w:szCs w:val="24"/>
          <w:lang w:val="es-MX"/>
        </w:rPr>
        <w:t>conforme las</w:t>
      </w:r>
      <w:r w:rsidR="00BC0CC2">
        <w:rPr>
          <w:rFonts w:ascii="Times New Roman" w:hAnsi="Times New Roman" w:cs="Times New Roman"/>
          <w:sz w:val="24"/>
          <w:szCs w:val="24"/>
          <w:lang w:val="es-MX"/>
        </w:rPr>
        <w:t xml:space="preserve"> necesidades financieras de la S</w:t>
      </w:r>
      <w:r w:rsidR="006610FA">
        <w:rPr>
          <w:rFonts w:ascii="Times New Roman" w:hAnsi="Times New Roman" w:cs="Times New Roman"/>
          <w:sz w:val="24"/>
          <w:szCs w:val="24"/>
          <w:lang w:val="es-MX"/>
        </w:rPr>
        <w:t xml:space="preserve">ociedad y de acuerdo a la delegación mencionada precedentemente, </w:t>
      </w:r>
      <w:r w:rsidR="00966AAD">
        <w:rPr>
          <w:rFonts w:ascii="Times New Roman" w:hAnsi="Times New Roman" w:cs="Times New Roman"/>
          <w:sz w:val="24"/>
          <w:szCs w:val="24"/>
          <w:lang w:val="es-MX"/>
        </w:rPr>
        <w:t>sería</w:t>
      </w:r>
      <w:r w:rsidR="006610FA">
        <w:rPr>
          <w:rFonts w:ascii="Times New Roman" w:hAnsi="Times New Roman" w:cs="Times New Roman"/>
          <w:sz w:val="24"/>
          <w:szCs w:val="24"/>
          <w:lang w:val="es-MX"/>
        </w:rPr>
        <w:t xml:space="preserve"> conveniente que est</w:t>
      </w:r>
      <w:r w:rsidR="00C30996">
        <w:rPr>
          <w:rFonts w:ascii="Times New Roman" w:hAnsi="Times New Roman" w:cs="Times New Roman"/>
          <w:sz w:val="24"/>
          <w:szCs w:val="24"/>
          <w:lang w:val="es-MX"/>
        </w:rPr>
        <w:t>a</w:t>
      </w:r>
      <w:r w:rsidR="006610FA">
        <w:rPr>
          <w:rFonts w:ascii="Times New Roman" w:hAnsi="Times New Roman" w:cs="Times New Roman"/>
          <w:sz w:val="24"/>
          <w:szCs w:val="24"/>
          <w:lang w:val="es-MX"/>
        </w:rPr>
        <w:t xml:space="preserve"> </w:t>
      </w:r>
      <w:r w:rsidR="00C30996">
        <w:rPr>
          <w:rFonts w:ascii="Times New Roman" w:hAnsi="Times New Roman" w:cs="Times New Roman"/>
          <w:sz w:val="24"/>
          <w:szCs w:val="24"/>
          <w:lang w:val="es-MX"/>
        </w:rPr>
        <w:t>Gerencia</w:t>
      </w:r>
      <w:r w:rsidR="006610FA">
        <w:rPr>
          <w:rFonts w:ascii="Times New Roman" w:hAnsi="Times New Roman" w:cs="Times New Roman"/>
          <w:sz w:val="24"/>
          <w:szCs w:val="24"/>
          <w:lang w:val="es-MX"/>
        </w:rPr>
        <w:t xml:space="preserve"> con</w:t>
      </w:r>
      <w:r w:rsidR="0066486D">
        <w:rPr>
          <w:rFonts w:ascii="Times New Roman" w:hAnsi="Times New Roman" w:cs="Times New Roman"/>
          <w:sz w:val="24"/>
          <w:szCs w:val="24"/>
          <w:lang w:val="es-MX"/>
        </w:rPr>
        <w:t>sidere la solicitud de oferta pú</w:t>
      </w:r>
      <w:r w:rsidR="006610FA">
        <w:rPr>
          <w:rFonts w:ascii="Times New Roman" w:hAnsi="Times New Roman" w:cs="Times New Roman"/>
          <w:sz w:val="24"/>
          <w:szCs w:val="24"/>
          <w:lang w:val="es-MX"/>
        </w:rPr>
        <w:t xml:space="preserve">blica para la </w:t>
      </w:r>
      <w:r w:rsidR="00966AAD">
        <w:rPr>
          <w:rFonts w:ascii="Times New Roman" w:hAnsi="Times New Roman" w:cs="Times New Roman"/>
          <w:sz w:val="24"/>
          <w:szCs w:val="24"/>
          <w:lang w:val="es-MX"/>
        </w:rPr>
        <w:t>emisión</w:t>
      </w:r>
      <w:r w:rsidR="00BC0CC2">
        <w:rPr>
          <w:rFonts w:ascii="Times New Roman" w:hAnsi="Times New Roman" w:cs="Times New Roman"/>
          <w:sz w:val="24"/>
          <w:szCs w:val="24"/>
          <w:lang w:val="es-MX"/>
        </w:rPr>
        <w:t xml:space="preserve"> de obligaciones negociables</w:t>
      </w:r>
      <w:r w:rsidR="0066486D" w:rsidRPr="0066486D">
        <w:rPr>
          <w:rFonts w:ascii="Times New Roman" w:hAnsi="Times New Roman" w:cs="Times New Roman"/>
          <w:sz w:val="24"/>
          <w:szCs w:val="24"/>
          <w:lang w:val="es-MX"/>
        </w:rPr>
        <w:t xml:space="preserve"> para Régimen PYME CNV Garantizada</w:t>
      </w:r>
      <w:r w:rsidR="00BC0CC2">
        <w:rPr>
          <w:rFonts w:ascii="Times New Roman" w:hAnsi="Times New Roman" w:cs="Times New Roman"/>
          <w:sz w:val="24"/>
          <w:szCs w:val="24"/>
          <w:lang w:val="es-MX"/>
        </w:rPr>
        <w:t xml:space="preserve"> (</w:t>
      </w:r>
      <w:r w:rsidR="006610FA">
        <w:rPr>
          <w:rFonts w:ascii="Times New Roman" w:hAnsi="Times New Roman" w:cs="Times New Roman"/>
          <w:sz w:val="24"/>
          <w:szCs w:val="24"/>
          <w:lang w:val="es-MX"/>
        </w:rPr>
        <w:t>en adelante “Obligaciones Negociables</w:t>
      </w:r>
      <w:r w:rsidR="00BC0CC2">
        <w:rPr>
          <w:rFonts w:ascii="Times New Roman" w:hAnsi="Times New Roman" w:cs="Times New Roman"/>
          <w:sz w:val="24"/>
          <w:szCs w:val="24"/>
          <w:lang w:val="es-MX"/>
        </w:rPr>
        <w:t xml:space="preserve"> </w:t>
      </w:r>
      <w:r w:rsidR="0066486D" w:rsidRPr="0066486D">
        <w:rPr>
          <w:rFonts w:ascii="Times New Roman" w:hAnsi="Times New Roman" w:cs="Times New Roman"/>
          <w:sz w:val="24"/>
          <w:szCs w:val="24"/>
          <w:lang w:val="es-MX"/>
        </w:rPr>
        <w:t>para Régimen PYME CNV Garantizada</w:t>
      </w:r>
      <w:r w:rsidR="006610FA">
        <w:rPr>
          <w:rFonts w:ascii="Times New Roman" w:hAnsi="Times New Roman" w:cs="Times New Roman"/>
          <w:sz w:val="24"/>
          <w:szCs w:val="24"/>
          <w:lang w:val="es-MX"/>
        </w:rPr>
        <w:t>”), bajo los términos y condiciones que se detallan a continuación</w:t>
      </w:r>
      <w:r w:rsidR="00966AAD">
        <w:rPr>
          <w:rFonts w:ascii="Times New Roman" w:hAnsi="Times New Roman" w:cs="Times New Roman"/>
          <w:sz w:val="24"/>
          <w:szCs w:val="24"/>
          <w:lang w:val="es-MX"/>
        </w:rPr>
        <w:t xml:space="preserve">, sin perjuicio </w:t>
      </w:r>
      <w:r w:rsidR="006610FA">
        <w:rPr>
          <w:rFonts w:ascii="Times New Roman" w:hAnsi="Times New Roman" w:cs="Times New Roman"/>
          <w:sz w:val="24"/>
          <w:szCs w:val="24"/>
          <w:lang w:val="es-MX"/>
        </w:rPr>
        <w:t xml:space="preserve">de que los mismos puedan ser modificados y/o </w:t>
      </w:r>
      <w:r w:rsidR="00966AAD">
        <w:rPr>
          <w:rFonts w:ascii="Times New Roman" w:hAnsi="Times New Roman" w:cs="Times New Roman"/>
          <w:sz w:val="24"/>
          <w:szCs w:val="24"/>
          <w:lang w:val="es-MX"/>
        </w:rPr>
        <w:t>complementados</w:t>
      </w:r>
      <w:r w:rsidR="006610FA">
        <w:rPr>
          <w:rFonts w:ascii="Times New Roman" w:hAnsi="Times New Roman" w:cs="Times New Roman"/>
          <w:sz w:val="24"/>
          <w:szCs w:val="24"/>
          <w:lang w:val="es-MX"/>
        </w:rPr>
        <w:t xml:space="preserve">, según </w:t>
      </w:r>
      <w:r w:rsidR="00392F39">
        <w:rPr>
          <w:rFonts w:ascii="Times New Roman" w:hAnsi="Times New Roman" w:cs="Times New Roman"/>
          <w:sz w:val="24"/>
          <w:szCs w:val="24"/>
          <w:lang w:val="es-MX"/>
        </w:rPr>
        <w:t>el caso</w:t>
      </w:r>
      <w:r w:rsidR="006610FA">
        <w:rPr>
          <w:rFonts w:ascii="Times New Roman" w:hAnsi="Times New Roman" w:cs="Times New Roman"/>
          <w:sz w:val="24"/>
          <w:szCs w:val="24"/>
          <w:lang w:val="es-MX"/>
        </w:rPr>
        <w:t>, con posterioridad a la prese</w:t>
      </w:r>
      <w:r w:rsidR="00966AAD">
        <w:rPr>
          <w:rFonts w:ascii="Times New Roman" w:hAnsi="Times New Roman" w:cs="Times New Roman"/>
          <w:sz w:val="24"/>
          <w:szCs w:val="24"/>
          <w:lang w:val="es-MX"/>
        </w:rPr>
        <w:t>nte</w:t>
      </w:r>
      <w:r w:rsidR="00400FC8">
        <w:rPr>
          <w:rFonts w:ascii="Times New Roman" w:hAnsi="Times New Roman" w:cs="Times New Roman"/>
          <w:sz w:val="24"/>
          <w:szCs w:val="24"/>
          <w:lang w:val="es-MX"/>
        </w:rPr>
        <w:t>,</w:t>
      </w:r>
      <w:r w:rsidR="006610FA">
        <w:rPr>
          <w:rFonts w:ascii="Times New Roman" w:hAnsi="Times New Roman" w:cs="Times New Roman"/>
          <w:sz w:val="24"/>
          <w:szCs w:val="24"/>
          <w:lang w:val="es-MX"/>
        </w:rPr>
        <w:t xml:space="preserve"> en virtud de las </w:t>
      </w:r>
      <w:r w:rsidR="00966AAD">
        <w:rPr>
          <w:rFonts w:ascii="Times New Roman" w:hAnsi="Times New Roman" w:cs="Times New Roman"/>
          <w:sz w:val="24"/>
          <w:szCs w:val="24"/>
          <w:lang w:val="es-MX"/>
        </w:rPr>
        <w:t>facultades</w:t>
      </w:r>
      <w:r w:rsidR="006610FA">
        <w:rPr>
          <w:rFonts w:ascii="Times New Roman" w:hAnsi="Times New Roman" w:cs="Times New Roman"/>
          <w:sz w:val="24"/>
          <w:szCs w:val="24"/>
          <w:lang w:val="es-MX"/>
        </w:rPr>
        <w:t xml:space="preserve"> delegadas en </w:t>
      </w:r>
      <w:r w:rsidR="002D7700">
        <w:rPr>
          <w:rFonts w:ascii="Times New Roman" w:hAnsi="Times New Roman" w:cs="Times New Roman"/>
          <w:sz w:val="24"/>
          <w:szCs w:val="24"/>
          <w:lang w:val="es-MX"/>
        </w:rPr>
        <w:t>la Gerencia</w:t>
      </w:r>
      <w:r w:rsidR="00392F39">
        <w:rPr>
          <w:rStyle w:val="Refdenotaalpie"/>
          <w:rFonts w:ascii="Times New Roman" w:hAnsi="Times New Roman" w:cs="Times New Roman"/>
          <w:sz w:val="24"/>
          <w:szCs w:val="24"/>
          <w:lang w:val="es-MX"/>
        </w:rPr>
        <w:footnoteReference w:id="10"/>
      </w:r>
      <w:r w:rsidR="006610FA">
        <w:rPr>
          <w:rFonts w:ascii="Times New Roman" w:hAnsi="Times New Roman" w:cs="Times New Roman"/>
          <w:sz w:val="24"/>
          <w:szCs w:val="24"/>
          <w:lang w:val="es-MX"/>
        </w:rPr>
        <w:t xml:space="preserve">: </w:t>
      </w:r>
      <w:r w:rsidR="00037CB7" w:rsidRPr="00037CB7">
        <w:rPr>
          <w:rFonts w:ascii="Times New Roman" w:hAnsi="Times New Roman" w:cs="Times New Roman"/>
          <w:b/>
          <w:sz w:val="24"/>
          <w:szCs w:val="24"/>
          <w:lang w:val="es-MX"/>
        </w:rPr>
        <w:t xml:space="preserve">I. Títulos </w:t>
      </w:r>
      <w:r w:rsidR="00037CB7" w:rsidRPr="00037CB7">
        <w:rPr>
          <w:rFonts w:ascii="Times New Roman" w:hAnsi="Times New Roman" w:cs="Times New Roman"/>
          <w:b/>
          <w:sz w:val="24"/>
          <w:szCs w:val="24"/>
          <w:lang w:val="es-MX"/>
        </w:rPr>
        <w:lastRenderedPageBreak/>
        <w:t>a emitir.</w:t>
      </w:r>
      <w:r w:rsidR="00037CB7" w:rsidRPr="00037CB7">
        <w:rPr>
          <w:rFonts w:ascii="Times New Roman" w:hAnsi="Times New Roman" w:cs="Times New Roman"/>
          <w:sz w:val="24"/>
          <w:szCs w:val="24"/>
          <w:lang w:val="es-MX"/>
        </w:rPr>
        <w:t xml:space="preserve"> Obligaciones Negociables Simples</w:t>
      </w:r>
      <w:r w:rsidR="00966AAD">
        <w:rPr>
          <w:rFonts w:ascii="Times New Roman" w:hAnsi="Times New Roman" w:cs="Times New Roman"/>
          <w:sz w:val="24"/>
          <w:szCs w:val="24"/>
          <w:lang w:val="es-MX"/>
        </w:rPr>
        <w:t xml:space="preserve"> (no convertibles en acciones)</w:t>
      </w:r>
      <w:r w:rsidR="00812EC8">
        <w:rPr>
          <w:rFonts w:ascii="Times New Roman" w:hAnsi="Times New Roman" w:cs="Times New Roman"/>
          <w:sz w:val="24"/>
          <w:szCs w:val="24"/>
          <w:lang w:val="es-MX"/>
        </w:rPr>
        <w:t xml:space="preserve"> </w:t>
      </w:r>
      <w:r w:rsidR="00874DB1">
        <w:rPr>
          <w:rFonts w:ascii="Times New Roman" w:hAnsi="Times New Roman" w:cs="Times New Roman"/>
          <w:sz w:val="24"/>
          <w:szCs w:val="24"/>
          <w:lang w:val="es-MX"/>
        </w:rPr>
        <w:t>a emitirse</w:t>
      </w:r>
      <w:r w:rsidR="00842A69">
        <w:rPr>
          <w:rFonts w:ascii="Times New Roman" w:hAnsi="Times New Roman" w:cs="Times New Roman"/>
          <w:sz w:val="24"/>
          <w:szCs w:val="24"/>
          <w:lang w:val="es-MX"/>
        </w:rPr>
        <w:t>.</w:t>
      </w:r>
      <w:r w:rsidR="00037CB7" w:rsidRPr="00037CB7">
        <w:rPr>
          <w:rFonts w:ascii="Times New Roman" w:hAnsi="Times New Roman" w:cs="Times New Roman"/>
          <w:sz w:val="24"/>
          <w:szCs w:val="24"/>
          <w:lang w:val="es-MX"/>
        </w:rPr>
        <w:t xml:space="preserve"> </w:t>
      </w:r>
      <w:r w:rsidR="00037CB7" w:rsidRPr="00037CB7">
        <w:rPr>
          <w:rFonts w:ascii="Times New Roman" w:hAnsi="Times New Roman" w:cs="Times New Roman"/>
          <w:b/>
          <w:sz w:val="24"/>
          <w:szCs w:val="24"/>
          <w:lang w:val="es-MX"/>
        </w:rPr>
        <w:t>II. Monto.</w:t>
      </w:r>
      <w:r w:rsidR="00037CB7" w:rsidRPr="00037CB7">
        <w:rPr>
          <w:rFonts w:ascii="Times New Roman" w:hAnsi="Times New Roman" w:cs="Times New Roman"/>
          <w:sz w:val="24"/>
          <w:szCs w:val="24"/>
          <w:lang w:val="es-MX"/>
        </w:rPr>
        <w:t xml:space="preserve"> La emisión de Obligaciones Negociables </w:t>
      </w:r>
      <w:r w:rsidR="0066486D" w:rsidRPr="0066486D">
        <w:rPr>
          <w:rFonts w:ascii="Times New Roman" w:hAnsi="Times New Roman" w:cs="Times New Roman"/>
          <w:sz w:val="24"/>
          <w:szCs w:val="24"/>
          <w:lang w:val="es-MX"/>
        </w:rPr>
        <w:t>para Régimen PYME CNV Garantizada</w:t>
      </w:r>
      <w:r w:rsidR="0066486D">
        <w:rPr>
          <w:rFonts w:ascii="Times New Roman" w:hAnsi="Times New Roman" w:cs="Times New Roman"/>
          <w:b/>
          <w:sz w:val="24"/>
          <w:szCs w:val="24"/>
          <w:lang w:val="es-MX"/>
        </w:rPr>
        <w:t xml:space="preserve"> </w:t>
      </w:r>
      <w:r w:rsidR="00037CB7" w:rsidRPr="00037CB7">
        <w:rPr>
          <w:rFonts w:ascii="Times New Roman" w:hAnsi="Times New Roman" w:cs="Times New Roman"/>
          <w:sz w:val="24"/>
          <w:szCs w:val="24"/>
          <w:lang w:val="es-MX"/>
        </w:rPr>
        <w:t xml:space="preserve">será por hasta un monto máximo de </w:t>
      </w:r>
      <w:r w:rsidR="00037CB7" w:rsidRPr="002D317D">
        <w:rPr>
          <w:rFonts w:ascii="Times New Roman" w:hAnsi="Times New Roman" w:cs="Times New Roman"/>
          <w:sz w:val="24"/>
          <w:szCs w:val="24"/>
          <w:lang w:val="es-ES"/>
        </w:rPr>
        <w:t>[●]</w:t>
      </w:r>
      <w:r w:rsidR="00FB065C">
        <w:rPr>
          <w:rStyle w:val="Refdenotaalpie"/>
          <w:rFonts w:ascii="Times New Roman" w:hAnsi="Times New Roman" w:cs="Times New Roman"/>
          <w:sz w:val="24"/>
          <w:szCs w:val="24"/>
          <w:lang w:val="es-MX"/>
        </w:rPr>
        <w:footnoteReference w:id="11"/>
      </w:r>
      <w:r w:rsidR="00037CB7" w:rsidRPr="00037CB7">
        <w:rPr>
          <w:rFonts w:ascii="Times New Roman" w:hAnsi="Times New Roman" w:cs="Times New Roman"/>
          <w:sz w:val="24"/>
          <w:szCs w:val="24"/>
          <w:lang w:val="es-MX"/>
        </w:rPr>
        <w:t xml:space="preserve"> </w:t>
      </w:r>
      <w:r w:rsidR="00037CB7" w:rsidRPr="00037CB7">
        <w:rPr>
          <w:rFonts w:ascii="Times New Roman" w:hAnsi="Times New Roman" w:cs="Times New Roman"/>
          <w:b/>
          <w:sz w:val="24"/>
          <w:szCs w:val="24"/>
          <w:lang w:val="es-MX"/>
        </w:rPr>
        <w:t>III. Moneda de denominación</w:t>
      </w:r>
      <w:r w:rsidR="009C2C8F">
        <w:rPr>
          <w:rFonts w:ascii="Times New Roman" w:hAnsi="Times New Roman" w:cs="Times New Roman"/>
          <w:b/>
          <w:sz w:val="24"/>
          <w:szCs w:val="24"/>
          <w:lang w:val="es-MX"/>
        </w:rPr>
        <w:t xml:space="preserve"> y</w:t>
      </w:r>
      <w:r w:rsidR="00D5400A">
        <w:rPr>
          <w:rFonts w:ascii="Times New Roman" w:hAnsi="Times New Roman" w:cs="Times New Roman"/>
          <w:b/>
          <w:sz w:val="24"/>
          <w:szCs w:val="24"/>
          <w:lang w:val="es-MX"/>
        </w:rPr>
        <w:t xml:space="preserve"> Valor Nominal Unitario</w:t>
      </w:r>
      <w:r w:rsidR="00037CB7" w:rsidRPr="00037CB7">
        <w:rPr>
          <w:rFonts w:ascii="Times New Roman" w:hAnsi="Times New Roman" w:cs="Times New Roman"/>
          <w:sz w:val="24"/>
          <w:szCs w:val="24"/>
          <w:lang w:val="es-MX"/>
        </w:rPr>
        <w:t xml:space="preserve">. </w:t>
      </w:r>
      <w:r w:rsidR="009C2C8F" w:rsidRPr="002D317D">
        <w:rPr>
          <w:rFonts w:ascii="Times New Roman" w:hAnsi="Times New Roman" w:cs="Times New Roman"/>
          <w:sz w:val="24"/>
          <w:szCs w:val="24"/>
          <w:lang w:val="es-ES"/>
        </w:rPr>
        <w:t>[●]</w:t>
      </w:r>
      <w:r w:rsidR="009C2C8F">
        <w:rPr>
          <w:rStyle w:val="Refdenotaalpie"/>
          <w:rFonts w:ascii="Times New Roman" w:hAnsi="Times New Roman" w:cs="Times New Roman"/>
          <w:sz w:val="24"/>
          <w:szCs w:val="24"/>
          <w:lang w:val="es-ES"/>
        </w:rPr>
        <w:footnoteReference w:id="12"/>
      </w:r>
      <w:r w:rsidR="00037CB7" w:rsidRPr="00037CB7">
        <w:rPr>
          <w:rFonts w:ascii="Times New Roman" w:hAnsi="Times New Roman" w:cs="Times New Roman"/>
          <w:sz w:val="24"/>
          <w:szCs w:val="24"/>
          <w:lang w:val="es-MX"/>
        </w:rPr>
        <w:t xml:space="preserve">. </w:t>
      </w:r>
      <w:r w:rsidR="00037CB7" w:rsidRPr="00037CB7">
        <w:rPr>
          <w:rFonts w:ascii="Times New Roman" w:hAnsi="Times New Roman" w:cs="Times New Roman"/>
          <w:b/>
          <w:sz w:val="24"/>
          <w:szCs w:val="24"/>
          <w:lang w:val="es-MX"/>
        </w:rPr>
        <w:t>IV. Régimen de Amortización</w:t>
      </w:r>
      <w:r w:rsidR="00037CB7" w:rsidRPr="00037CB7">
        <w:rPr>
          <w:rFonts w:ascii="Times New Roman" w:hAnsi="Times New Roman" w:cs="Times New Roman"/>
          <w:sz w:val="24"/>
          <w:szCs w:val="24"/>
          <w:lang w:val="es-MX"/>
        </w:rPr>
        <w:t xml:space="preserve">. El capital de las Obligaciones Negociables </w:t>
      </w:r>
      <w:r w:rsidR="0066486D" w:rsidRPr="0066486D">
        <w:rPr>
          <w:rFonts w:ascii="Times New Roman" w:hAnsi="Times New Roman" w:cs="Times New Roman"/>
          <w:sz w:val="24"/>
          <w:szCs w:val="24"/>
          <w:lang w:val="es-MX"/>
        </w:rPr>
        <w:t>para Régimen PYME CNV Garantizada</w:t>
      </w:r>
      <w:r w:rsidR="0066486D">
        <w:rPr>
          <w:rFonts w:ascii="Times New Roman" w:hAnsi="Times New Roman" w:cs="Times New Roman"/>
          <w:b/>
          <w:sz w:val="24"/>
          <w:szCs w:val="24"/>
          <w:lang w:val="es-MX"/>
        </w:rPr>
        <w:t xml:space="preserve"> </w:t>
      </w:r>
      <w:r w:rsidR="00037CB7" w:rsidRPr="00037CB7">
        <w:rPr>
          <w:rFonts w:ascii="Times New Roman" w:hAnsi="Times New Roman" w:cs="Times New Roman"/>
          <w:sz w:val="24"/>
          <w:szCs w:val="24"/>
          <w:lang w:val="es-MX"/>
        </w:rPr>
        <w:t xml:space="preserve">se amortizará de acuerdo al siguiente esquema: </w:t>
      </w:r>
      <w:r w:rsidR="00842A69" w:rsidRPr="002D317D">
        <w:rPr>
          <w:rFonts w:ascii="Times New Roman" w:hAnsi="Times New Roman" w:cs="Times New Roman"/>
          <w:sz w:val="24"/>
          <w:szCs w:val="24"/>
          <w:lang w:val="es-ES"/>
        </w:rPr>
        <w:t>[●]</w:t>
      </w:r>
      <w:r w:rsidR="00842A69">
        <w:rPr>
          <w:rStyle w:val="Refdenotaalpie"/>
          <w:rFonts w:ascii="Times New Roman" w:hAnsi="Times New Roman" w:cs="Times New Roman"/>
          <w:sz w:val="24"/>
          <w:szCs w:val="24"/>
          <w:lang w:val="es-ES"/>
        </w:rPr>
        <w:footnoteReference w:id="13"/>
      </w:r>
      <w:r w:rsidR="00037CB7" w:rsidRPr="00037CB7">
        <w:rPr>
          <w:rFonts w:ascii="Times New Roman" w:hAnsi="Times New Roman" w:cs="Times New Roman"/>
          <w:sz w:val="24"/>
          <w:szCs w:val="24"/>
          <w:lang w:val="es-MX"/>
        </w:rPr>
        <w:t>.</w:t>
      </w:r>
      <w:r w:rsidR="00C34787">
        <w:rPr>
          <w:rFonts w:ascii="Times New Roman" w:hAnsi="Times New Roman" w:cs="Times New Roman"/>
          <w:sz w:val="24"/>
          <w:szCs w:val="24"/>
          <w:lang w:val="es-MX"/>
        </w:rPr>
        <w:t xml:space="preserve"> </w:t>
      </w:r>
      <w:r w:rsidR="00C34787">
        <w:rPr>
          <w:rFonts w:ascii="Times New Roman" w:hAnsi="Times New Roman" w:cs="Times New Roman"/>
          <w:b/>
          <w:sz w:val="24"/>
          <w:szCs w:val="24"/>
          <w:lang w:val="es-MX"/>
        </w:rPr>
        <w:t>V.</w:t>
      </w:r>
      <w:r w:rsidR="00037CB7" w:rsidRPr="00037CB7">
        <w:rPr>
          <w:rFonts w:ascii="Times New Roman" w:hAnsi="Times New Roman" w:cs="Times New Roman"/>
          <w:b/>
          <w:sz w:val="24"/>
          <w:szCs w:val="24"/>
          <w:lang w:val="es-MX"/>
        </w:rPr>
        <w:t xml:space="preserve"> Intereses</w:t>
      </w:r>
      <w:r w:rsidR="00037CB7" w:rsidRPr="00037CB7">
        <w:rPr>
          <w:rFonts w:ascii="Times New Roman" w:hAnsi="Times New Roman" w:cs="Times New Roman"/>
          <w:sz w:val="24"/>
          <w:szCs w:val="24"/>
          <w:lang w:val="es-MX"/>
        </w:rPr>
        <w:t xml:space="preserve">. </w:t>
      </w:r>
      <w:r w:rsidR="00D5400A" w:rsidRPr="002D317D">
        <w:rPr>
          <w:rFonts w:ascii="Times New Roman" w:hAnsi="Times New Roman" w:cs="Times New Roman"/>
          <w:sz w:val="24"/>
          <w:szCs w:val="24"/>
          <w:lang w:val="es-ES"/>
        </w:rPr>
        <w:t>[●]</w:t>
      </w:r>
      <w:r w:rsidR="00C34787">
        <w:rPr>
          <w:rStyle w:val="Refdenotaalpie"/>
          <w:rFonts w:ascii="Times New Roman" w:hAnsi="Times New Roman" w:cs="Times New Roman"/>
          <w:sz w:val="24"/>
          <w:szCs w:val="24"/>
          <w:lang w:val="es-ES"/>
        </w:rPr>
        <w:footnoteReference w:id="14"/>
      </w:r>
      <w:r w:rsidR="00037CB7" w:rsidRPr="00037CB7">
        <w:rPr>
          <w:rFonts w:ascii="Times New Roman" w:hAnsi="Times New Roman" w:cs="Times New Roman"/>
          <w:sz w:val="24"/>
          <w:szCs w:val="24"/>
          <w:lang w:val="es-MX"/>
        </w:rPr>
        <w:t xml:space="preserve">. </w:t>
      </w:r>
      <w:r w:rsidR="00C34787">
        <w:rPr>
          <w:rFonts w:ascii="Times New Roman" w:hAnsi="Times New Roman" w:cs="Times New Roman"/>
          <w:b/>
          <w:sz w:val="24"/>
          <w:szCs w:val="24"/>
          <w:lang w:val="es-MX"/>
        </w:rPr>
        <w:t xml:space="preserve">VI. </w:t>
      </w:r>
      <w:r w:rsidR="00A87D44">
        <w:rPr>
          <w:rFonts w:ascii="Times New Roman" w:hAnsi="Times New Roman" w:cs="Times New Roman"/>
          <w:b/>
          <w:sz w:val="24"/>
          <w:szCs w:val="24"/>
          <w:lang w:val="es-MX"/>
        </w:rPr>
        <w:t>Garantías</w:t>
      </w:r>
      <w:r w:rsidR="00C34787">
        <w:rPr>
          <w:rFonts w:ascii="Times New Roman" w:hAnsi="Times New Roman" w:cs="Times New Roman"/>
          <w:b/>
          <w:sz w:val="24"/>
          <w:szCs w:val="24"/>
          <w:lang w:val="es-MX"/>
        </w:rPr>
        <w:t>.</w:t>
      </w:r>
      <w:r w:rsidR="00037CB7" w:rsidRPr="00037CB7">
        <w:rPr>
          <w:rFonts w:ascii="Times New Roman" w:hAnsi="Times New Roman" w:cs="Times New Roman"/>
          <w:b/>
          <w:sz w:val="24"/>
          <w:szCs w:val="24"/>
          <w:lang w:val="es-MX"/>
        </w:rPr>
        <w:t xml:space="preserve"> </w:t>
      </w:r>
      <w:r w:rsidR="00CA6937">
        <w:rPr>
          <w:rFonts w:ascii="Times New Roman" w:hAnsi="Times New Roman" w:cs="Times New Roman"/>
          <w:sz w:val="24"/>
          <w:szCs w:val="24"/>
          <w:lang w:val="es-MX"/>
        </w:rPr>
        <w:t xml:space="preserve">Garantía Común otorgada por </w:t>
      </w:r>
      <w:r w:rsidR="00842A69" w:rsidRPr="002D317D">
        <w:rPr>
          <w:rFonts w:ascii="Times New Roman" w:hAnsi="Times New Roman" w:cs="Times New Roman"/>
          <w:sz w:val="24"/>
          <w:szCs w:val="24"/>
          <w:lang w:val="es-ES"/>
        </w:rPr>
        <w:t>[●]</w:t>
      </w:r>
      <w:r w:rsidR="00CA6937">
        <w:rPr>
          <w:rFonts w:ascii="Times New Roman" w:hAnsi="Times New Roman" w:cs="Times New Roman"/>
          <w:sz w:val="24"/>
          <w:szCs w:val="24"/>
          <w:lang w:val="es-ES"/>
        </w:rPr>
        <w:t xml:space="preserve"> en los siguientes porcentajes </w:t>
      </w:r>
      <w:r w:rsidR="00CA6937" w:rsidRPr="002D317D">
        <w:rPr>
          <w:rFonts w:ascii="Times New Roman" w:hAnsi="Times New Roman" w:cs="Times New Roman"/>
          <w:sz w:val="24"/>
          <w:szCs w:val="24"/>
          <w:lang w:val="es-ES"/>
        </w:rPr>
        <w:t>[●]</w:t>
      </w:r>
      <w:r w:rsidR="0063016E">
        <w:rPr>
          <w:rStyle w:val="Refdenotaalpie"/>
          <w:rFonts w:ascii="Times New Roman" w:hAnsi="Times New Roman" w:cs="Times New Roman"/>
          <w:sz w:val="24"/>
          <w:szCs w:val="24"/>
          <w:lang w:val="es-ES"/>
        </w:rPr>
        <w:footnoteReference w:id="15"/>
      </w:r>
      <w:r w:rsidR="00C34787">
        <w:rPr>
          <w:rFonts w:ascii="Times New Roman" w:hAnsi="Times New Roman" w:cs="Times New Roman"/>
          <w:sz w:val="24"/>
          <w:szCs w:val="24"/>
          <w:lang w:val="es-ES"/>
        </w:rPr>
        <w:t>.</w:t>
      </w:r>
      <w:r w:rsidR="00994D83">
        <w:rPr>
          <w:rFonts w:ascii="Times New Roman" w:hAnsi="Times New Roman" w:cs="Times New Roman"/>
          <w:sz w:val="24"/>
          <w:szCs w:val="24"/>
          <w:lang w:val="es-ES"/>
        </w:rPr>
        <w:t xml:space="preserve"> </w:t>
      </w:r>
      <w:r w:rsidR="00994D83" w:rsidRPr="009412BD">
        <w:rPr>
          <w:rFonts w:ascii="Times New Roman" w:hAnsi="Times New Roman" w:cs="Times New Roman"/>
          <w:b/>
          <w:sz w:val="24"/>
          <w:szCs w:val="24"/>
          <w:lang w:val="es-ES"/>
        </w:rPr>
        <w:t xml:space="preserve">VII. </w:t>
      </w:r>
      <w:r w:rsidR="009557F8">
        <w:rPr>
          <w:rFonts w:ascii="Times New Roman" w:hAnsi="Times New Roman" w:cs="Times New Roman"/>
          <w:b/>
          <w:sz w:val="24"/>
          <w:szCs w:val="24"/>
          <w:lang w:val="es-MX"/>
        </w:rPr>
        <w:t xml:space="preserve">Modo de representación. </w:t>
      </w:r>
      <w:r w:rsidR="0063727F">
        <w:rPr>
          <w:rFonts w:ascii="Times New Roman" w:hAnsi="Times New Roman" w:cs="Times New Roman"/>
          <w:sz w:val="24"/>
          <w:szCs w:val="24"/>
          <w:lang w:val="es-MX"/>
        </w:rPr>
        <w:t xml:space="preserve">Las Obligaciones </w:t>
      </w:r>
      <w:r w:rsidR="0063727F">
        <w:rPr>
          <w:rFonts w:ascii="Times New Roman" w:hAnsi="Times New Roman" w:cs="Times New Roman"/>
          <w:sz w:val="24"/>
          <w:szCs w:val="24"/>
          <w:lang w:val="es-MX"/>
        </w:rPr>
        <w:lastRenderedPageBreak/>
        <w:t xml:space="preserve">Negociables serán </w:t>
      </w:r>
      <w:r w:rsidR="0041124F">
        <w:rPr>
          <w:rFonts w:ascii="Times New Roman" w:hAnsi="Times New Roman" w:cs="Times New Roman"/>
          <w:sz w:val="24"/>
          <w:szCs w:val="24"/>
          <w:lang w:val="es-MX"/>
        </w:rPr>
        <w:t xml:space="preserve">representadas en forma de </w:t>
      </w:r>
      <w:r w:rsidR="0063727F">
        <w:rPr>
          <w:rFonts w:ascii="Times New Roman" w:hAnsi="Times New Roman" w:cs="Times New Roman"/>
          <w:sz w:val="24"/>
          <w:szCs w:val="24"/>
          <w:lang w:val="es-MX"/>
        </w:rPr>
        <w:t>Certificado Global que será depositado en Caja de Valores S.A.</w:t>
      </w:r>
      <w:r w:rsidR="00F11970">
        <w:rPr>
          <w:rStyle w:val="Refdenotaalpie"/>
          <w:rFonts w:ascii="Times New Roman" w:hAnsi="Times New Roman" w:cs="Times New Roman"/>
          <w:sz w:val="24"/>
          <w:szCs w:val="24"/>
          <w:lang w:val="es-ES"/>
        </w:rPr>
        <w:footnoteReference w:id="16"/>
      </w:r>
      <w:r w:rsidR="0063727F">
        <w:rPr>
          <w:rFonts w:ascii="Times New Roman" w:hAnsi="Times New Roman" w:cs="Times New Roman"/>
          <w:b/>
          <w:sz w:val="24"/>
          <w:szCs w:val="24"/>
          <w:lang w:val="es-MX"/>
        </w:rPr>
        <w:t xml:space="preserve"> </w:t>
      </w:r>
      <w:r w:rsidR="00576E1F">
        <w:rPr>
          <w:rFonts w:ascii="Times New Roman" w:hAnsi="Times New Roman" w:cs="Times New Roman"/>
          <w:b/>
          <w:sz w:val="24"/>
          <w:szCs w:val="24"/>
          <w:lang w:val="es-MX"/>
        </w:rPr>
        <w:t>VIII</w:t>
      </w:r>
      <w:r w:rsidR="002C7DEC" w:rsidRPr="002C7DEC">
        <w:rPr>
          <w:rFonts w:ascii="Times New Roman" w:hAnsi="Times New Roman" w:cs="Times New Roman"/>
          <w:b/>
          <w:sz w:val="24"/>
          <w:szCs w:val="24"/>
          <w:lang w:val="es-MX"/>
        </w:rPr>
        <w:t xml:space="preserve">. </w:t>
      </w:r>
      <w:r w:rsidR="002C7DEC">
        <w:rPr>
          <w:rFonts w:ascii="Times New Roman" w:hAnsi="Times New Roman" w:cs="Times New Roman"/>
          <w:b/>
          <w:sz w:val="24"/>
          <w:szCs w:val="24"/>
          <w:lang w:val="es-MX"/>
        </w:rPr>
        <w:t>Forma de</w:t>
      </w:r>
      <w:r w:rsidR="002C7DEC" w:rsidRPr="002C7DEC">
        <w:rPr>
          <w:rFonts w:ascii="Times New Roman" w:hAnsi="Times New Roman" w:cs="Times New Roman"/>
          <w:b/>
          <w:sz w:val="24"/>
          <w:szCs w:val="24"/>
          <w:lang w:val="es-MX"/>
        </w:rPr>
        <w:t xml:space="preserve"> colocación</w:t>
      </w:r>
      <w:r w:rsidR="002C7DEC">
        <w:rPr>
          <w:rFonts w:ascii="Times New Roman" w:hAnsi="Times New Roman" w:cs="Times New Roman"/>
          <w:sz w:val="24"/>
          <w:szCs w:val="24"/>
          <w:lang w:val="es-MX"/>
        </w:rPr>
        <w:t>.</w:t>
      </w:r>
      <w:r w:rsidR="002C7DEC" w:rsidRPr="002C7DEC">
        <w:rPr>
          <w:rFonts w:ascii="Times New Roman" w:hAnsi="Times New Roman" w:cs="Times New Roman"/>
          <w:sz w:val="24"/>
          <w:szCs w:val="24"/>
          <w:lang w:val="es-ES"/>
        </w:rPr>
        <w:t xml:space="preserve"> </w:t>
      </w:r>
      <w:r w:rsidR="00A35727">
        <w:rPr>
          <w:rFonts w:ascii="Times New Roman" w:hAnsi="Times New Roman" w:cs="Times New Roman"/>
          <w:sz w:val="24"/>
          <w:szCs w:val="24"/>
          <w:lang w:val="es-ES"/>
        </w:rPr>
        <w:t xml:space="preserve">Las Obligaciones Negociables </w:t>
      </w:r>
      <w:r w:rsidR="00A35727" w:rsidRPr="00A35727">
        <w:rPr>
          <w:rFonts w:ascii="Times New Roman" w:hAnsi="Times New Roman" w:cs="Times New Roman"/>
          <w:sz w:val="24"/>
          <w:szCs w:val="24"/>
          <w:lang w:val="es-MX"/>
        </w:rPr>
        <w:t>para Régimen PYME</w:t>
      </w:r>
      <w:r w:rsidR="00A35727">
        <w:rPr>
          <w:rFonts w:ascii="Times New Roman" w:hAnsi="Times New Roman" w:cs="Times New Roman"/>
          <w:b/>
          <w:sz w:val="24"/>
          <w:szCs w:val="24"/>
          <w:lang w:val="es-MX"/>
        </w:rPr>
        <w:t xml:space="preserve"> </w:t>
      </w:r>
      <w:r w:rsidR="00A35727" w:rsidRPr="00A35727">
        <w:rPr>
          <w:rFonts w:ascii="Times New Roman" w:hAnsi="Times New Roman" w:cs="Times New Roman"/>
          <w:sz w:val="24"/>
          <w:szCs w:val="24"/>
          <w:lang w:val="es-MX"/>
        </w:rPr>
        <w:t>CNV Garantizada</w:t>
      </w:r>
      <w:r w:rsidR="00A35727">
        <w:rPr>
          <w:rFonts w:ascii="Times New Roman" w:hAnsi="Times New Roman" w:cs="Times New Roman"/>
          <w:sz w:val="24"/>
          <w:szCs w:val="24"/>
          <w:lang w:val="es-MX"/>
        </w:rPr>
        <w:t xml:space="preserve"> serán colocadas mediante el sistema de subasta </w:t>
      </w:r>
      <w:r w:rsidR="00A35727" w:rsidRPr="002D317D">
        <w:rPr>
          <w:rFonts w:ascii="Times New Roman" w:hAnsi="Times New Roman" w:cs="Times New Roman"/>
          <w:sz w:val="24"/>
          <w:szCs w:val="24"/>
          <w:lang w:val="es-ES"/>
        </w:rPr>
        <w:t>[●]</w:t>
      </w:r>
      <w:r w:rsidR="00A35727">
        <w:rPr>
          <w:rStyle w:val="Refdenotaalpie"/>
          <w:lang w:val="es-ES"/>
        </w:rPr>
        <w:t xml:space="preserve"> </w:t>
      </w:r>
      <w:r w:rsidR="00A35727" w:rsidRPr="00A35727">
        <w:rPr>
          <w:rStyle w:val="Refdenotaalpie"/>
          <w:lang w:val="es-ES"/>
        </w:rPr>
        <w:t xml:space="preserve"> </w:t>
      </w:r>
      <w:r w:rsidR="002C7DEC">
        <w:rPr>
          <w:rStyle w:val="Refdenotaalpie"/>
          <w:rFonts w:ascii="Times New Roman" w:hAnsi="Times New Roman" w:cs="Times New Roman"/>
          <w:sz w:val="24"/>
          <w:szCs w:val="24"/>
          <w:lang w:val="es-ES"/>
        </w:rPr>
        <w:footnoteReference w:id="17"/>
      </w:r>
      <w:r w:rsidR="00A35727">
        <w:rPr>
          <w:rStyle w:val="Refdenotaalpie"/>
          <w:lang w:val="es-ES"/>
        </w:rPr>
        <w:t>.</w:t>
      </w:r>
      <w:r w:rsidR="002C7DEC">
        <w:rPr>
          <w:rFonts w:ascii="Times New Roman" w:hAnsi="Times New Roman" w:cs="Times New Roman"/>
          <w:sz w:val="24"/>
          <w:szCs w:val="24"/>
          <w:lang w:val="es-MX"/>
        </w:rPr>
        <w:t xml:space="preserve"> </w:t>
      </w:r>
      <w:r w:rsidR="00576E1F">
        <w:rPr>
          <w:rFonts w:ascii="Times New Roman" w:hAnsi="Times New Roman" w:cs="Times New Roman"/>
          <w:b/>
          <w:sz w:val="24"/>
          <w:szCs w:val="24"/>
          <w:lang w:val="es-MX"/>
        </w:rPr>
        <w:t>XIX</w:t>
      </w:r>
      <w:r w:rsidR="002C7DEC" w:rsidRPr="002C7DEC">
        <w:rPr>
          <w:rFonts w:ascii="Times New Roman" w:hAnsi="Times New Roman" w:cs="Times New Roman"/>
          <w:b/>
          <w:sz w:val="24"/>
          <w:szCs w:val="24"/>
          <w:lang w:val="es-MX"/>
        </w:rPr>
        <w:t>.</w:t>
      </w:r>
      <w:r w:rsidR="002C7DEC">
        <w:rPr>
          <w:rFonts w:ascii="Times New Roman" w:hAnsi="Times New Roman" w:cs="Times New Roman"/>
          <w:sz w:val="24"/>
          <w:szCs w:val="24"/>
          <w:lang w:val="es-MX"/>
        </w:rPr>
        <w:t xml:space="preserve"> </w:t>
      </w:r>
      <w:r w:rsidR="002C7DEC" w:rsidRPr="002C7DEC">
        <w:rPr>
          <w:rFonts w:ascii="Times New Roman" w:hAnsi="Times New Roman" w:cs="Times New Roman"/>
          <w:b/>
          <w:sz w:val="24"/>
          <w:szCs w:val="24"/>
          <w:lang w:val="es-MX"/>
        </w:rPr>
        <w:t>Mercados autorizados en los que se ofrecerán los valores negociables</w:t>
      </w:r>
      <w:r w:rsidR="00BE1E0D">
        <w:rPr>
          <w:rFonts w:ascii="Times New Roman" w:hAnsi="Times New Roman" w:cs="Times New Roman"/>
          <w:b/>
          <w:sz w:val="24"/>
          <w:szCs w:val="24"/>
          <w:lang w:val="es-MX"/>
        </w:rPr>
        <w:t xml:space="preserve"> </w:t>
      </w:r>
      <w:r w:rsidR="00BE1E0D" w:rsidRPr="002D317D">
        <w:rPr>
          <w:rFonts w:ascii="Times New Roman" w:hAnsi="Times New Roman" w:cs="Times New Roman"/>
          <w:sz w:val="24"/>
          <w:szCs w:val="24"/>
          <w:lang w:val="es-ES"/>
        </w:rPr>
        <w:t>[●]</w:t>
      </w:r>
      <w:r w:rsidR="002C7DEC">
        <w:rPr>
          <w:rStyle w:val="Refdenotaalpie"/>
          <w:rFonts w:ascii="Times New Roman" w:hAnsi="Times New Roman" w:cs="Times New Roman"/>
          <w:b/>
          <w:sz w:val="24"/>
          <w:szCs w:val="24"/>
          <w:lang w:val="es-MX"/>
        </w:rPr>
        <w:footnoteReference w:id="18"/>
      </w:r>
      <w:r w:rsidR="002C7DEC" w:rsidRPr="002C7DEC">
        <w:rPr>
          <w:rFonts w:ascii="Times New Roman" w:hAnsi="Times New Roman" w:cs="Times New Roman"/>
          <w:b/>
          <w:sz w:val="24"/>
          <w:szCs w:val="24"/>
          <w:lang w:val="es-MX"/>
        </w:rPr>
        <w:t>.</w:t>
      </w:r>
      <w:r w:rsidR="002C7DEC">
        <w:rPr>
          <w:rFonts w:ascii="Times New Roman" w:hAnsi="Times New Roman" w:cs="Times New Roman"/>
          <w:b/>
          <w:sz w:val="24"/>
          <w:szCs w:val="24"/>
          <w:lang w:val="es-MX"/>
        </w:rPr>
        <w:t xml:space="preserve"> </w:t>
      </w:r>
      <w:r w:rsidR="002C7DEC">
        <w:rPr>
          <w:rFonts w:ascii="Times New Roman" w:hAnsi="Times New Roman" w:cs="Times New Roman"/>
          <w:sz w:val="24"/>
          <w:szCs w:val="24"/>
          <w:lang w:val="es-MX"/>
        </w:rPr>
        <w:t xml:space="preserve"> </w:t>
      </w:r>
      <w:r w:rsidR="00576E1F">
        <w:rPr>
          <w:rFonts w:ascii="Times New Roman" w:hAnsi="Times New Roman" w:cs="Times New Roman"/>
          <w:b/>
          <w:sz w:val="24"/>
          <w:szCs w:val="24"/>
          <w:lang w:val="es-MX"/>
        </w:rPr>
        <w:t>X</w:t>
      </w:r>
      <w:r w:rsidR="000C232A" w:rsidRPr="000C232A">
        <w:rPr>
          <w:rFonts w:ascii="Times New Roman" w:hAnsi="Times New Roman" w:cs="Times New Roman"/>
          <w:b/>
          <w:sz w:val="24"/>
          <w:szCs w:val="24"/>
          <w:lang w:val="es-MX"/>
        </w:rPr>
        <w:t>.</w:t>
      </w:r>
      <w:r w:rsidR="000C232A">
        <w:rPr>
          <w:rFonts w:ascii="Times New Roman" w:hAnsi="Times New Roman" w:cs="Times New Roman"/>
          <w:sz w:val="24"/>
          <w:szCs w:val="24"/>
          <w:lang w:val="es-MX"/>
        </w:rPr>
        <w:t xml:space="preserve"> </w:t>
      </w:r>
      <w:r w:rsidR="000C232A" w:rsidRPr="000C232A">
        <w:rPr>
          <w:rFonts w:ascii="Times New Roman" w:hAnsi="Times New Roman" w:cs="Times New Roman"/>
          <w:b/>
          <w:sz w:val="24"/>
          <w:szCs w:val="24"/>
          <w:lang w:val="es-MX"/>
        </w:rPr>
        <w:t>Acción ejecutiva.</w:t>
      </w:r>
      <w:r w:rsidR="000C232A">
        <w:rPr>
          <w:rFonts w:ascii="Times New Roman" w:hAnsi="Times New Roman" w:cs="Times New Roman"/>
          <w:b/>
          <w:sz w:val="24"/>
          <w:szCs w:val="24"/>
          <w:lang w:val="es-MX"/>
        </w:rPr>
        <w:t xml:space="preserve"> </w:t>
      </w:r>
      <w:r w:rsidR="000C232A" w:rsidRPr="000C232A">
        <w:rPr>
          <w:rFonts w:ascii="Times New Roman" w:hAnsi="Times New Roman" w:cs="Times New Roman"/>
          <w:sz w:val="24"/>
          <w:szCs w:val="24"/>
          <w:lang w:val="es-MX"/>
        </w:rPr>
        <w:t xml:space="preserve">Conforme el artículo 29 de la Ley 23.576 los títulos representativos </w:t>
      </w:r>
      <w:r w:rsidR="000C232A" w:rsidRPr="000C232A">
        <w:rPr>
          <w:rFonts w:ascii="Times New Roman" w:hAnsi="Times New Roman" w:cs="Times New Roman"/>
          <w:sz w:val="24"/>
          <w:szCs w:val="24"/>
        </w:rPr>
        <w:t>de las obligaciones otorgan acción ejecutiva a sus tenedores para reclamar el capital, actualizaciones e intereses y para ejecutar las garantías otorgadas.</w:t>
      </w:r>
      <w:r w:rsidR="000C232A">
        <w:rPr>
          <w:rFonts w:ascii="Times New Roman" w:hAnsi="Times New Roman" w:cs="Times New Roman"/>
          <w:b/>
          <w:sz w:val="24"/>
          <w:szCs w:val="24"/>
          <w:lang w:val="es-MX"/>
        </w:rPr>
        <w:t xml:space="preserve"> </w:t>
      </w:r>
      <w:r w:rsidR="00576E1F">
        <w:rPr>
          <w:rFonts w:ascii="Times New Roman" w:hAnsi="Times New Roman" w:cs="Times New Roman"/>
          <w:b/>
          <w:sz w:val="24"/>
          <w:szCs w:val="24"/>
          <w:lang w:val="es-MX"/>
        </w:rPr>
        <w:t>XII. Agentes de Custodia,</w:t>
      </w:r>
      <w:r w:rsidR="00627C4B">
        <w:rPr>
          <w:rFonts w:ascii="Times New Roman" w:hAnsi="Times New Roman" w:cs="Times New Roman"/>
          <w:b/>
          <w:sz w:val="24"/>
          <w:szCs w:val="24"/>
          <w:lang w:val="es-MX"/>
        </w:rPr>
        <w:t xml:space="preserve"> Registro, Pago, etc. </w:t>
      </w:r>
      <w:r w:rsidR="00627C4B" w:rsidRPr="002D317D">
        <w:rPr>
          <w:rFonts w:ascii="Times New Roman" w:hAnsi="Times New Roman" w:cs="Times New Roman"/>
          <w:sz w:val="24"/>
          <w:szCs w:val="24"/>
          <w:lang w:val="es-ES"/>
        </w:rPr>
        <w:t>[●]</w:t>
      </w:r>
      <w:r w:rsidR="00627C4B">
        <w:rPr>
          <w:rStyle w:val="Refdenotaalpie"/>
          <w:rFonts w:ascii="Times New Roman" w:hAnsi="Times New Roman" w:cs="Times New Roman"/>
          <w:sz w:val="24"/>
          <w:szCs w:val="24"/>
          <w:lang w:val="es-ES"/>
        </w:rPr>
        <w:footnoteReference w:id="19"/>
      </w:r>
      <w:r w:rsidR="000C232A" w:rsidRPr="000C232A">
        <w:rPr>
          <w:rFonts w:ascii="Times New Roman" w:hAnsi="Times New Roman" w:cs="Times New Roman"/>
          <w:b/>
          <w:sz w:val="24"/>
          <w:szCs w:val="24"/>
          <w:lang w:val="es-MX"/>
        </w:rPr>
        <w:t xml:space="preserve"> </w:t>
      </w:r>
      <w:r w:rsidR="00037CB7" w:rsidRPr="00037CB7">
        <w:rPr>
          <w:rFonts w:ascii="Times New Roman" w:hAnsi="Times New Roman" w:cs="Times New Roman"/>
          <w:b/>
          <w:sz w:val="24"/>
          <w:szCs w:val="24"/>
          <w:lang w:val="es-MX"/>
        </w:rPr>
        <w:t>X</w:t>
      </w:r>
      <w:r w:rsidR="00576E1F">
        <w:rPr>
          <w:rFonts w:ascii="Times New Roman" w:hAnsi="Times New Roman" w:cs="Times New Roman"/>
          <w:b/>
          <w:sz w:val="24"/>
          <w:szCs w:val="24"/>
          <w:lang w:val="es-MX"/>
        </w:rPr>
        <w:t>III</w:t>
      </w:r>
      <w:r w:rsidR="00037CB7" w:rsidRPr="00037CB7">
        <w:rPr>
          <w:rFonts w:ascii="Times New Roman" w:hAnsi="Times New Roman" w:cs="Times New Roman"/>
          <w:b/>
          <w:sz w:val="24"/>
          <w:szCs w:val="24"/>
          <w:lang w:val="es-MX"/>
        </w:rPr>
        <w:t xml:space="preserve">. </w:t>
      </w:r>
      <w:r w:rsidR="00793282">
        <w:rPr>
          <w:rFonts w:ascii="Times New Roman" w:hAnsi="Times New Roman" w:cs="Times New Roman"/>
          <w:sz w:val="24"/>
          <w:szCs w:val="24"/>
          <w:lang w:val="es-MX"/>
        </w:rPr>
        <w:t xml:space="preserve"> </w:t>
      </w:r>
      <w:r w:rsidR="00793282" w:rsidRPr="00793282">
        <w:rPr>
          <w:rFonts w:ascii="Times New Roman" w:hAnsi="Times New Roman" w:cs="Times New Roman"/>
          <w:b/>
          <w:sz w:val="24"/>
          <w:szCs w:val="24"/>
          <w:lang w:val="es-MX"/>
        </w:rPr>
        <w:t>Destino de fondos de la emisión</w:t>
      </w:r>
      <w:r w:rsidR="00793282">
        <w:rPr>
          <w:rFonts w:ascii="Times New Roman" w:hAnsi="Times New Roman" w:cs="Times New Roman"/>
          <w:sz w:val="24"/>
          <w:szCs w:val="24"/>
          <w:lang w:val="es-MX"/>
        </w:rPr>
        <w:t>.</w:t>
      </w:r>
      <w:r w:rsidR="00793282" w:rsidRPr="00793282">
        <w:rPr>
          <w:rFonts w:ascii="Times New Roman" w:eastAsia="Times New Roman" w:hAnsi="Times New Roman"/>
          <w:spacing w:val="-3"/>
          <w:sz w:val="24"/>
          <w:szCs w:val="24"/>
          <w:lang w:val="es-ES" w:eastAsia="es-ES"/>
        </w:rPr>
        <w:t xml:space="preserve"> </w:t>
      </w:r>
      <w:r w:rsidR="00793282" w:rsidRPr="00341C55">
        <w:rPr>
          <w:rFonts w:ascii="Times New Roman" w:eastAsia="Times New Roman" w:hAnsi="Times New Roman"/>
          <w:spacing w:val="-3"/>
          <w:sz w:val="24"/>
          <w:szCs w:val="24"/>
          <w:lang w:val="es-ES" w:eastAsia="es-ES"/>
        </w:rPr>
        <w:t>[●]</w:t>
      </w:r>
      <w:r w:rsidR="00793282" w:rsidRPr="001A3EEB">
        <w:rPr>
          <w:rFonts w:ascii="Times New Roman" w:hAnsi="Times New Roman" w:cs="Times New Roman"/>
          <w:sz w:val="24"/>
          <w:szCs w:val="24"/>
          <w:lang w:val="es-MX"/>
        </w:rPr>
        <w:t xml:space="preserve"> </w:t>
      </w:r>
      <w:r w:rsidR="00793282">
        <w:rPr>
          <w:rStyle w:val="Refdenotaalpie"/>
          <w:rFonts w:ascii="Times New Roman" w:hAnsi="Times New Roman" w:cs="Times New Roman"/>
          <w:sz w:val="24"/>
          <w:szCs w:val="24"/>
          <w:lang w:val="es-MX"/>
        </w:rPr>
        <w:footnoteReference w:id="20"/>
      </w:r>
      <w:r w:rsidR="00400FC8">
        <w:rPr>
          <w:rFonts w:ascii="Times New Roman" w:hAnsi="Times New Roman" w:cs="Times New Roman"/>
          <w:sz w:val="24"/>
          <w:szCs w:val="24"/>
          <w:lang w:val="es-MX"/>
        </w:rPr>
        <w:t>. Descriptos los términos y condiciones antedichos y l</w:t>
      </w:r>
      <w:r w:rsidR="0061729D">
        <w:rPr>
          <w:rFonts w:ascii="Times New Roman" w:hAnsi="Times New Roman" w:cs="Times New Roman"/>
          <w:sz w:val="24"/>
          <w:szCs w:val="24"/>
          <w:lang w:val="es-MX"/>
        </w:rPr>
        <w:t xml:space="preserve">uego de un breve intercambio de </w:t>
      </w:r>
      <w:r w:rsidR="0061729D">
        <w:rPr>
          <w:rFonts w:ascii="Times New Roman" w:hAnsi="Times New Roman" w:cs="Times New Roman"/>
          <w:sz w:val="24"/>
          <w:szCs w:val="24"/>
          <w:lang w:val="es-MX"/>
        </w:rPr>
        <w:lastRenderedPageBreak/>
        <w:t xml:space="preserve">opiniones, se resuelve por </w:t>
      </w:r>
      <w:r w:rsidR="00400FC8">
        <w:rPr>
          <w:rFonts w:ascii="Times New Roman" w:hAnsi="Times New Roman" w:cs="Times New Roman"/>
          <w:sz w:val="24"/>
          <w:szCs w:val="24"/>
          <w:lang w:val="es-MX"/>
        </w:rPr>
        <w:t>unanimidad</w:t>
      </w:r>
      <w:r w:rsidR="0061729D">
        <w:rPr>
          <w:rFonts w:ascii="Times New Roman" w:hAnsi="Times New Roman" w:cs="Times New Roman"/>
          <w:sz w:val="24"/>
          <w:szCs w:val="24"/>
          <w:lang w:val="es-MX"/>
        </w:rPr>
        <w:t xml:space="preserve"> </w:t>
      </w:r>
      <w:r w:rsidR="00400FC8">
        <w:rPr>
          <w:rFonts w:ascii="Times New Roman" w:hAnsi="Times New Roman" w:cs="Times New Roman"/>
          <w:sz w:val="24"/>
          <w:szCs w:val="24"/>
          <w:lang w:val="es-MX"/>
        </w:rPr>
        <w:t xml:space="preserve">de los presentes </w:t>
      </w:r>
      <w:r w:rsidR="0061729D">
        <w:rPr>
          <w:rFonts w:ascii="Times New Roman" w:hAnsi="Times New Roman" w:cs="Times New Roman"/>
          <w:sz w:val="24"/>
          <w:szCs w:val="24"/>
          <w:lang w:val="es-MX"/>
        </w:rPr>
        <w:t xml:space="preserve">aprobar la </w:t>
      </w:r>
      <w:r w:rsidR="00400FC8">
        <w:rPr>
          <w:rFonts w:ascii="Times New Roman" w:hAnsi="Times New Roman" w:cs="Times New Roman"/>
          <w:sz w:val="24"/>
          <w:szCs w:val="24"/>
          <w:lang w:val="es-MX"/>
        </w:rPr>
        <w:t>emisión</w:t>
      </w:r>
      <w:r w:rsidR="0061729D">
        <w:rPr>
          <w:rFonts w:ascii="Times New Roman" w:hAnsi="Times New Roman" w:cs="Times New Roman"/>
          <w:sz w:val="24"/>
          <w:szCs w:val="24"/>
          <w:lang w:val="es-MX"/>
        </w:rPr>
        <w:t xml:space="preserve"> de las Obligaciones Negociables</w:t>
      </w:r>
      <w:r w:rsidR="00576E1F" w:rsidRPr="00576E1F">
        <w:t xml:space="preserve"> </w:t>
      </w:r>
      <w:r w:rsidR="00576E1F" w:rsidRPr="00576E1F">
        <w:rPr>
          <w:rFonts w:ascii="Times New Roman" w:hAnsi="Times New Roman" w:cs="Times New Roman"/>
          <w:sz w:val="24"/>
          <w:szCs w:val="24"/>
          <w:lang w:val="es-MX"/>
        </w:rPr>
        <w:t>para Régimen CNV PYME Garantizadas</w:t>
      </w:r>
      <w:r w:rsidR="0061729D">
        <w:rPr>
          <w:rFonts w:ascii="Times New Roman" w:hAnsi="Times New Roman" w:cs="Times New Roman"/>
          <w:sz w:val="24"/>
          <w:szCs w:val="24"/>
          <w:lang w:val="es-MX"/>
        </w:rPr>
        <w:t xml:space="preserve"> en los términos antes descriptos. Acto seguido el señor </w:t>
      </w:r>
      <w:r w:rsidR="00C30996">
        <w:rPr>
          <w:rFonts w:ascii="Times New Roman" w:hAnsi="Times New Roman" w:cs="Times New Roman"/>
          <w:sz w:val="24"/>
          <w:szCs w:val="24"/>
          <w:lang w:val="es-MX"/>
        </w:rPr>
        <w:t xml:space="preserve">Gerente XXX </w:t>
      </w:r>
      <w:r w:rsidR="0061729D">
        <w:rPr>
          <w:rFonts w:ascii="Times New Roman" w:hAnsi="Times New Roman" w:cs="Times New Roman"/>
          <w:sz w:val="24"/>
          <w:szCs w:val="24"/>
          <w:lang w:val="es-MX"/>
        </w:rPr>
        <w:t xml:space="preserve">somete a consideración el </w:t>
      </w:r>
      <w:r w:rsidR="00EA1792">
        <w:rPr>
          <w:rFonts w:ascii="Times New Roman" w:hAnsi="Times New Roman" w:cs="Times New Roman"/>
          <w:sz w:val="24"/>
          <w:szCs w:val="24"/>
          <w:lang w:val="es-MX"/>
        </w:rPr>
        <w:t xml:space="preserve">segundo </w:t>
      </w:r>
      <w:r w:rsidR="0061729D">
        <w:rPr>
          <w:rFonts w:ascii="Times New Roman" w:hAnsi="Times New Roman" w:cs="Times New Roman"/>
          <w:sz w:val="24"/>
          <w:szCs w:val="24"/>
          <w:lang w:val="es-MX"/>
        </w:rPr>
        <w:t xml:space="preserve">y último punto </w:t>
      </w:r>
      <w:r w:rsidR="00085AC2" w:rsidRPr="001A3EEB">
        <w:rPr>
          <w:rFonts w:ascii="Times New Roman" w:hAnsi="Times New Roman" w:cs="Times New Roman"/>
          <w:sz w:val="24"/>
          <w:szCs w:val="24"/>
          <w:lang w:val="es-MX"/>
        </w:rPr>
        <w:t>del Orden del Día</w:t>
      </w:r>
      <w:r w:rsidR="00085AC2" w:rsidRPr="00EA1792">
        <w:rPr>
          <w:rFonts w:ascii="Times New Roman" w:hAnsi="Times New Roman" w:cs="Times New Roman"/>
          <w:sz w:val="24"/>
          <w:szCs w:val="24"/>
          <w:lang w:val="es-MX"/>
        </w:rPr>
        <w:t xml:space="preserve">: </w:t>
      </w:r>
      <w:r w:rsidR="002B2BA5" w:rsidRPr="00536CCE">
        <w:rPr>
          <w:rFonts w:ascii="Times New Roman" w:hAnsi="Times New Roman" w:cs="Times New Roman"/>
          <w:b/>
          <w:sz w:val="24"/>
          <w:szCs w:val="24"/>
          <w:lang w:val="es-MX"/>
        </w:rPr>
        <w:t>2</w:t>
      </w:r>
      <w:r w:rsidR="00085AC2" w:rsidRPr="00536CCE">
        <w:rPr>
          <w:rFonts w:ascii="Times New Roman" w:hAnsi="Times New Roman" w:cs="Times New Roman"/>
          <w:b/>
          <w:sz w:val="24"/>
          <w:szCs w:val="24"/>
          <w:lang w:val="es-MX"/>
        </w:rPr>
        <w:t>°)</w:t>
      </w:r>
      <w:r w:rsidR="0076261E" w:rsidRPr="00536CCE">
        <w:rPr>
          <w:rFonts w:ascii="Times New Roman" w:hAnsi="Times New Roman" w:cs="Times New Roman"/>
          <w:b/>
          <w:sz w:val="24"/>
          <w:szCs w:val="24"/>
          <w:lang w:val="es-MX"/>
        </w:rPr>
        <w:t xml:space="preserve"> “</w:t>
      </w:r>
      <w:r w:rsidR="002B2BA5" w:rsidRPr="00536CCE">
        <w:rPr>
          <w:rFonts w:ascii="Times New Roman" w:hAnsi="Times New Roman" w:cs="Times New Roman"/>
          <w:b/>
          <w:sz w:val="24"/>
          <w:szCs w:val="24"/>
          <w:lang w:val="es-MX"/>
        </w:rPr>
        <w:t>A</w:t>
      </w:r>
      <w:r w:rsidR="00DA17A1" w:rsidRPr="00536CCE">
        <w:rPr>
          <w:rFonts w:ascii="Times New Roman" w:hAnsi="Times New Roman" w:cs="Times New Roman"/>
          <w:b/>
          <w:sz w:val="24"/>
          <w:szCs w:val="24"/>
          <w:lang w:val="es-MX"/>
        </w:rPr>
        <w:t>utorizaciones</w:t>
      </w:r>
      <w:r w:rsidR="002D7700">
        <w:rPr>
          <w:rFonts w:ascii="Times New Roman" w:hAnsi="Times New Roman" w:cs="Times New Roman"/>
          <w:b/>
          <w:sz w:val="24"/>
          <w:szCs w:val="24"/>
          <w:lang w:val="es-MX"/>
        </w:rPr>
        <w:t>”</w:t>
      </w:r>
      <w:r w:rsidR="00DA17A1" w:rsidRPr="00536CCE">
        <w:rPr>
          <w:rFonts w:ascii="Times New Roman" w:hAnsi="Times New Roman" w:cs="Times New Roman"/>
          <w:b/>
          <w:sz w:val="24"/>
          <w:szCs w:val="24"/>
          <w:lang w:val="es-MX"/>
        </w:rPr>
        <w:t xml:space="preserve">. </w:t>
      </w:r>
      <w:r w:rsidR="00EA1792" w:rsidRPr="00D32B7B">
        <w:rPr>
          <w:rFonts w:ascii="Times New Roman" w:hAnsi="Times New Roman" w:cs="Times New Roman"/>
          <w:sz w:val="24"/>
          <w:szCs w:val="24"/>
          <w:lang w:val="es-MX"/>
        </w:rPr>
        <w:t xml:space="preserve">A fin de facilitar la emisión de las Obligaciones Negociables, sería conveniente que </w:t>
      </w:r>
      <w:r w:rsidR="00EA1792" w:rsidRPr="00D36761">
        <w:rPr>
          <w:rFonts w:ascii="Times New Roman" w:hAnsi="Times New Roman" w:cs="Times New Roman"/>
          <w:sz w:val="24"/>
          <w:szCs w:val="24"/>
          <w:lang w:val="es-MX"/>
        </w:rPr>
        <w:t xml:space="preserve">esta Gerencia designe a los Sres. </w:t>
      </w:r>
      <w:r w:rsidR="00EA1792" w:rsidRPr="00D36761">
        <w:rPr>
          <w:rFonts w:ascii="Times New Roman" w:eastAsia="Times New Roman" w:hAnsi="Times New Roman"/>
          <w:spacing w:val="-3"/>
          <w:sz w:val="24"/>
          <w:szCs w:val="24"/>
          <w:lang w:val="es-ES" w:eastAsia="es-ES"/>
        </w:rPr>
        <w:t>[●]</w:t>
      </w:r>
      <w:r w:rsidR="00EA1792" w:rsidRPr="00D36761">
        <w:rPr>
          <w:rStyle w:val="Refdenotaalpie"/>
          <w:rFonts w:ascii="Times New Roman" w:hAnsi="Times New Roman" w:cs="Times New Roman"/>
          <w:sz w:val="24"/>
          <w:szCs w:val="24"/>
          <w:lang w:val="es-MX"/>
        </w:rPr>
        <w:footnoteReference w:id="21"/>
      </w:r>
      <w:r w:rsidR="00EA1792" w:rsidRPr="00D36761">
        <w:rPr>
          <w:rFonts w:ascii="Times New Roman" w:hAnsi="Times New Roman" w:cs="Times New Roman"/>
          <w:sz w:val="24"/>
          <w:szCs w:val="24"/>
          <w:lang w:val="es-MX"/>
        </w:rPr>
        <w:t>, para que, actuando indistintamente cualquiera de ellos, realicen las presentaciones que puedan corresponder ante la CNV, los mercados autorizados y/o cualquier entidad en relación con la creación del Programa, la oferta pública, listado y/o negociación de las Obligaciones Negociables, tomando vista de las actuaciones, teniendo dichas personas, en forma también indistinta, la facultad de contestar vistas, impulsar los trámites y realizar, cuantos más trámites fueren menester en relación con la oferta pública y el listado y/o negociación de las Obligaciones Negociables, en los mercados incluyendo sin limitación la publicación del aviso previsto por el artículo 10 de la ley 23.576</w:t>
      </w:r>
      <w:r w:rsidR="00EA1792" w:rsidRPr="00D36761">
        <w:rPr>
          <w:rStyle w:val="Refdenotaalpie"/>
          <w:rFonts w:ascii="Times New Roman" w:hAnsi="Times New Roman" w:cs="Times New Roman"/>
          <w:sz w:val="24"/>
          <w:szCs w:val="24"/>
          <w:lang w:val="es-MX"/>
        </w:rPr>
        <w:footnoteReference w:id="22"/>
      </w:r>
      <w:r w:rsidR="00EA1792" w:rsidRPr="00D36761">
        <w:rPr>
          <w:rFonts w:ascii="Times New Roman" w:hAnsi="Times New Roman" w:cs="Times New Roman"/>
          <w:sz w:val="24"/>
          <w:szCs w:val="24"/>
          <w:lang w:val="es-MX"/>
        </w:rPr>
        <w:t xml:space="preserve">.Luego de un breve intercambio de opiniones, los Sres. Gerentes resuelven por unanimidad aprobar la moción del Sr. Gerente XXX. Sin más asuntos que tratar y habiéndose considerado todos los puntos del Orden del Día, y siendo las </w:t>
      </w:r>
      <w:r w:rsidR="00EA1792" w:rsidRPr="00D36761">
        <w:rPr>
          <w:rFonts w:ascii="Times New Roman" w:eastAsia="Times New Roman" w:hAnsi="Times New Roman"/>
          <w:spacing w:val="-3"/>
          <w:sz w:val="24"/>
          <w:szCs w:val="24"/>
          <w:lang w:val="es-ES" w:eastAsia="es-ES"/>
        </w:rPr>
        <w:t>[●]</w:t>
      </w:r>
      <w:r w:rsidR="00EA1792" w:rsidRPr="00D36761">
        <w:rPr>
          <w:rStyle w:val="Refdenotaalpie"/>
          <w:rFonts w:ascii="Times New Roman" w:eastAsia="Times New Roman" w:hAnsi="Times New Roman"/>
          <w:spacing w:val="-3"/>
          <w:sz w:val="24"/>
          <w:szCs w:val="24"/>
          <w:lang w:val="es-ES" w:eastAsia="es-ES"/>
        </w:rPr>
        <w:footnoteReference w:id="23"/>
      </w:r>
      <w:r w:rsidR="00EA1792" w:rsidRPr="00D36761">
        <w:rPr>
          <w:rFonts w:ascii="Times New Roman" w:hAnsi="Times New Roman" w:cs="Times New Roman"/>
          <w:sz w:val="24"/>
          <w:szCs w:val="24"/>
          <w:lang w:val="es-MX"/>
        </w:rPr>
        <w:t xml:space="preserve">  horas, se levanta la sesión.</w:t>
      </w:r>
    </w:p>
    <w:p w:rsidR="001C6782" w:rsidRPr="00EA1792" w:rsidRDefault="001C6782" w:rsidP="00D14F46">
      <w:pPr>
        <w:spacing w:line="360" w:lineRule="auto"/>
        <w:jc w:val="both"/>
        <w:rPr>
          <w:rFonts w:ascii="Times New Roman" w:hAnsi="Times New Roman" w:cs="Times New Roman"/>
          <w:sz w:val="24"/>
          <w:szCs w:val="24"/>
        </w:rPr>
      </w:pPr>
    </w:p>
    <w:sectPr w:rsidR="001C6782" w:rsidRPr="00EA1792" w:rsidSect="00165B4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8D" w:rsidRDefault="00E33C8D" w:rsidP="00A7041F">
      <w:pPr>
        <w:spacing w:after="0" w:line="240" w:lineRule="auto"/>
      </w:pPr>
      <w:r>
        <w:separator/>
      </w:r>
    </w:p>
  </w:endnote>
  <w:endnote w:type="continuationSeparator" w:id="0">
    <w:p w:rsidR="00E33C8D" w:rsidRDefault="00E33C8D" w:rsidP="00A7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09429"/>
      <w:docPartObj>
        <w:docPartGallery w:val="Page Numbers (Bottom of Page)"/>
        <w:docPartUnique/>
      </w:docPartObj>
    </w:sdtPr>
    <w:sdtEndPr/>
    <w:sdtContent>
      <w:p w:rsidR="009C5B69" w:rsidRDefault="009C5B69">
        <w:pPr>
          <w:pStyle w:val="Piedepgina"/>
          <w:jc w:val="right"/>
        </w:pPr>
        <w:r>
          <w:t>[</w:t>
        </w:r>
        <w:r w:rsidR="004B0A13">
          <w:fldChar w:fldCharType="begin"/>
        </w:r>
        <w:r>
          <w:instrText>PAGE   \* MERGEFORMAT</w:instrText>
        </w:r>
        <w:r w:rsidR="004B0A13">
          <w:fldChar w:fldCharType="separate"/>
        </w:r>
        <w:r w:rsidR="00645DF9" w:rsidRPr="00645DF9">
          <w:rPr>
            <w:noProof/>
            <w:lang w:val="es-ES"/>
          </w:rPr>
          <w:t>1</w:t>
        </w:r>
        <w:r w:rsidR="004B0A13">
          <w:fldChar w:fldCharType="end"/>
        </w:r>
        <w:r>
          <w:t>]</w:t>
        </w:r>
      </w:p>
    </w:sdtContent>
  </w:sdt>
  <w:p w:rsidR="009C5B69" w:rsidRDefault="009C5B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8D" w:rsidRDefault="00E33C8D" w:rsidP="00A7041F">
      <w:pPr>
        <w:spacing w:after="0" w:line="240" w:lineRule="auto"/>
      </w:pPr>
      <w:r>
        <w:separator/>
      </w:r>
    </w:p>
  </w:footnote>
  <w:footnote w:type="continuationSeparator" w:id="0">
    <w:p w:rsidR="00E33C8D" w:rsidRDefault="00E33C8D" w:rsidP="00A7041F">
      <w:pPr>
        <w:spacing w:after="0" w:line="240" w:lineRule="auto"/>
      </w:pPr>
      <w:r>
        <w:continuationSeparator/>
      </w:r>
    </w:p>
  </w:footnote>
  <w:footnote w:id="1">
    <w:p w:rsidR="009C5B69" w:rsidRPr="00A7041F" w:rsidRDefault="009C5B69" w:rsidP="00BC0CC2">
      <w:pPr>
        <w:pStyle w:val="Textonotapie"/>
        <w:jc w:val="both"/>
        <w:rPr>
          <w:lang w:val="es-MX"/>
        </w:rPr>
      </w:pPr>
      <w:r>
        <w:rPr>
          <w:rStyle w:val="Refdenotaalpie"/>
        </w:rPr>
        <w:footnoteRef/>
      </w:r>
      <w:r>
        <w:t xml:space="preserve"> </w:t>
      </w:r>
      <w:r>
        <w:rPr>
          <w:lang w:val="es-MX"/>
        </w:rPr>
        <w:t xml:space="preserve">Conf. Art. </w:t>
      </w:r>
      <w:r w:rsidR="00C30996">
        <w:rPr>
          <w:lang w:val="es-MX"/>
        </w:rPr>
        <w:t>157</w:t>
      </w:r>
      <w:r>
        <w:rPr>
          <w:lang w:val="es-MX"/>
        </w:rPr>
        <w:t xml:space="preserve"> de la Ley General de Sociedades (en adelante “LGS”), </w:t>
      </w:r>
      <w:r w:rsidR="00C30996">
        <w:rPr>
          <w:lang w:val="es-MX"/>
        </w:rPr>
        <w:t>la</w:t>
      </w:r>
      <w:r>
        <w:rPr>
          <w:lang w:val="es-MX"/>
        </w:rPr>
        <w:t xml:space="preserve"> </w:t>
      </w:r>
      <w:r w:rsidR="00C30996">
        <w:rPr>
          <w:lang w:val="es-MX"/>
        </w:rPr>
        <w:t xml:space="preserve">administración y representación de la sociedad corresponde a uno o más gerentes. </w:t>
      </w:r>
      <w:r w:rsidR="007801BB">
        <w:rPr>
          <w:lang w:val="es-MX"/>
        </w:rPr>
        <w:t xml:space="preserve">En el supuesto de que la Gerencia de su Sociedad sea unipersonal, no se le exigirá más requisito que la presente acta firmada en original por el Gerente de la misma. </w:t>
      </w:r>
    </w:p>
  </w:footnote>
  <w:footnote w:id="2">
    <w:p w:rsidR="009C5B69" w:rsidRPr="009A6097" w:rsidRDefault="009C5B69" w:rsidP="00BC0CC2">
      <w:pPr>
        <w:pStyle w:val="Textonotapie"/>
        <w:jc w:val="both"/>
        <w:rPr>
          <w:lang w:val="es-MX"/>
        </w:rPr>
      </w:pPr>
      <w:r>
        <w:rPr>
          <w:rStyle w:val="Refdenotaalpie"/>
        </w:rPr>
        <w:footnoteRef/>
      </w:r>
      <w:r>
        <w:t xml:space="preserve"> </w:t>
      </w:r>
      <w:r w:rsidRPr="00F06F21">
        <w:t>In</w:t>
      </w:r>
      <w:r>
        <w:t>dicar</w:t>
      </w:r>
      <w:r w:rsidRPr="00F06F21">
        <w:t xml:space="preserve"> la fecha en que se lleva a cabo la </w:t>
      </w:r>
      <w:r>
        <w:t xml:space="preserve">reunión. </w:t>
      </w:r>
    </w:p>
  </w:footnote>
  <w:footnote w:id="3">
    <w:p w:rsidR="009C5B69" w:rsidRPr="00181E99" w:rsidRDefault="009C5B69" w:rsidP="00181E99">
      <w:pPr>
        <w:pStyle w:val="Textonotapie"/>
        <w:jc w:val="both"/>
      </w:pPr>
      <w:r>
        <w:rPr>
          <w:rStyle w:val="Refdenotaalpie"/>
        </w:rPr>
        <w:footnoteRef/>
      </w:r>
      <w:r>
        <w:t xml:space="preserve"> Completar con la hora de comienzo de la reunión.</w:t>
      </w:r>
    </w:p>
  </w:footnote>
  <w:footnote w:id="4">
    <w:p w:rsidR="009C5B69" w:rsidRPr="009A6097" w:rsidRDefault="009C5B69" w:rsidP="00BC0CC2">
      <w:pPr>
        <w:pStyle w:val="Textonotapie"/>
        <w:jc w:val="both"/>
      </w:pPr>
      <w:r>
        <w:rPr>
          <w:rStyle w:val="Refdenotaalpie"/>
        </w:rPr>
        <w:footnoteRef/>
      </w:r>
      <w:r>
        <w:t xml:space="preserve"> En el caso de que no se reúna en la sede social eliminar y completar directamente el domicilio completo del lugar donde se lleva a cabo la reunión.</w:t>
      </w:r>
    </w:p>
  </w:footnote>
  <w:footnote w:id="5">
    <w:p w:rsidR="009C5B69" w:rsidRPr="009A6097" w:rsidRDefault="009C5B69" w:rsidP="00BC0CC2">
      <w:pPr>
        <w:pStyle w:val="Textonotapie"/>
        <w:jc w:val="both"/>
        <w:rPr>
          <w:lang w:val="es-MX"/>
        </w:rPr>
      </w:pPr>
      <w:r>
        <w:rPr>
          <w:rStyle w:val="Refdenotaalpie"/>
        </w:rPr>
        <w:footnoteRef/>
      </w:r>
      <w:r>
        <w:t xml:space="preserve"> </w:t>
      </w:r>
      <w:r>
        <w:rPr>
          <w:lang w:val="es-MX"/>
        </w:rPr>
        <w:t xml:space="preserve">Indicar nombre de la Sociedad. </w:t>
      </w:r>
    </w:p>
  </w:footnote>
  <w:footnote w:id="6">
    <w:p w:rsidR="009C5B69" w:rsidRPr="009A6097" w:rsidRDefault="009C5B69" w:rsidP="00BC0CC2">
      <w:pPr>
        <w:pStyle w:val="Textonotapie"/>
        <w:jc w:val="both"/>
        <w:rPr>
          <w:lang w:val="es-MX"/>
        </w:rPr>
      </w:pPr>
      <w:r>
        <w:rPr>
          <w:rStyle w:val="Refdenotaalpie"/>
        </w:rPr>
        <w:footnoteRef/>
      </w:r>
      <w:r>
        <w:t xml:space="preserve"> </w:t>
      </w:r>
      <w:r>
        <w:rPr>
          <w:lang w:val="es-MX"/>
        </w:rPr>
        <w:t>Indicar domicilio completo del lugar de reunión, en caso de que sea en la sede social debe indicarse dicho domicilio.</w:t>
      </w:r>
    </w:p>
  </w:footnote>
  <w:footnote w:id="7">
    <w:p w:rsidR="009C5B69" w:rsidRPr="00E479D8" w:rsidRDefault="009C5B69" w:rsidP="00BC0CC2">
      <w:pPr>
        <w:pStyle w:val="Textonotapie"/>
        <w:jc w:val="both"/>
        <w:rPr>
          <w:lang w:val="es-MX"/>
        </w:rPr>
      </w:pPr>
      <w:r>
        <w:rPr>
          <w:rStyle w:val="Refdenotaalpie"/>
        </w:rPr>
        <w:footnoteRef/>
      </w:r>
      <w:r>
        <w:t xml:space="preserve"> </w:t>
      </w:r>
      <w:r w:rsidRPr="00E479D8">
        <w:rPr>
          <w:lang w:val="es-MX"/>
        </w:rPr>
        <w:t>Incorporar los nombres completos de</w:t>
      </w:r>
      <w:r w:rsidR="008E6FCE" w:rsidRPr="00536CCE">
        <w:rPr>
          <w:lang w:val="es-MX"/>
        </w:rPr>
        <w:t xml:space="preserve">l </w:t>
      </w:r>
      <w:r w:rsidR="002D7700">
        <w:rPr>
          <w:lang w:val="es-MX"/>
        </w:rPr>
        <w:t xml:space="preserve">Gerente </w:t>
      </w:r>
      <w:r w:rsidR="008E6FCE" w:rsidRPr="00536CCE">
        <w:rPr>
          <w:lang w:val="es-MX"/>
        </w:rPr>
        <w:t>o los Gerentes</w:t>
      </w:r>
      <w:r w:rsidRPr="00E479D8">
        <w:rPr>
          <w:lang w:val="es-MX"/>
        </w:rPr>
        <w:t xml:space="preserve"> presentes en la reunión</w:t>
      </w:r>
      <w:r w:rsidR="002D7700">
        <w:rPr>
          <w:lang w:val="es-MX"/>
        </w:rPr>
        <w:t>, según el caso</w:t>
      </w:r>
      <w:r w:rsidR="008E6FCE" w:rsidRPr="00536CCE">
        <w:rPr>
          <w:lang w:val="es-MX"/>
        </w:rPr>
        <w:t>.</w:t>
      </w:r>
    </w:p>
  </w:footnote>
  <w:footnote w:id="8">
    <w:p w:rsidR="009C5B69" w:rsidRPr="002D317D" w:rsidRDefault="009C5B69" w:rsidP="00BC0CC2">
      <w:pPr>
        <w:pStyle w:val="Textonotapie"/>
        <w:jc w:val="both"/>
        <w:rPr>
          <w:lang w:val="es-MX"/>
        </w:rPr>
      </w:pPr>
      <w:r>
        <w:rPr>
          <w:rStyle w:val="Refdenotaalpie"/>
        </w:rPr>
        <w:footnoteRef/>
      </w:r>
      <w:r>
        <w:t xml:space="preserve"> </w:t>
      </w:r>
      <w:r>
        <w:rPr>
          <w:lang w:val="es-MX"/>
        </w:rPr>
        <w:t>Indicar la fecha de celebración de la Asamblea que aprueba el ingreso a la O</w:t>
      </w:r>
      <w:r w:rsidR="000D600E">
        <w:rPr>
          <w:lang w:val="es-MX"/>
        </w:rPr>
        <w:t xml:space="preserve">ferta Pública bajo el Régimen </w:t>
      </w:r>
      <w:r w:rsidR="00B5059B" w:rsidRPr="00B5059B">
        <w:rPr>
          <w:lang w:val="es-MX"/>
        </w:rPr>
        <w:t>PYME CNV Garantizada</w:t>
      </w:r>
      <w:r w:rsidR="00B5059B">
        <w:rPr>
          <w:lang w:val="es-MX"/>
        </w:rPr>
        <w:t>.</w:t>
      </w:r>
    </w:p>
  </w:footnote>
  <w:footnote w:id="9">
    <w:p w:rsidR="009C5B69" w:rsidRDefault="009C5B69" w:rsidP="00BC0CC2">
      <w:pPr>
        <w:pStyle w:val="Textonotapie"/>
        <w:jc w:val="both"/>
      </w:pPr>
      <w:r>
        <w:rPr>
          <w:rStyle w:val="Refdenotaalpie"/>
        </w:rPr>
        <w:footnoteRef/>
      </w:r>
      <w:r>
        <w:t xml:space="preserve"> El ingreso a </w:t>
      </w:r>
      <w:r w:rsidR="000D600E">
        <w:t>la O</w:t>
      </w:r>
      <w:r w:rsidR="00B5059B">
        <w:t xml:space="preserve">ferta </w:t>
      </w:r>
      <w:r>
        <w:t>P</w:t>
      </w:r>
      <w:r w:rsidR="00B5059B">
        <w:t>ública</w:t>
      </w:r>
      <w:r>
        <w:t xml:space="preserve"> de </w:t>
      </w:r>
      <w:r w:rsidR="00B5059B">
        <w:t>PYME CNV Garantizada</w:t>
      </w:r>
      <w:r w:rsidR="000D600E">
        <w:t xml:space="preserve"> </w:t>
      </w:r>
      <w:r w:rsidR="00C57E94">
        <w:t xml:space="preserve">se realiza conforme </w:t>
      </w:r>
      <w:r w:rsidR="00B43386">
        <w:t xml:space="preserve">la Sección III, del </w:t>
      </w:r>
      <w:r w:rsidR="00C57E94">
        <w:t xml:space="preserve">Capítulo </w:t>
      </w:r>
      <w:r w:rsidR="00B43386">
        <w:t>VI, Título</w:t>
      </w:r>
      <w:r w:rsidR="00C57E94">
        <w:t xml:space="preserve"> </w:t>
      </w:r>
      <w:r w:rsidR="00B43386">
        <w:t>II</w:t>
      </w:r>
      <w:r>
        <w:t xml:space="preserve"> de las NORMAS de la CNV. </w:t>
      </w:r>
    </w:p>
  </w:footnote>
  <w:footnote w:id="10">
    <w:p w:rsidR="009C5B69" w:rsidRDefault="009C5B69" w:rsidP="00C05933">
      <w:pPr>
        <w:pStyle w:val="Textonotapie"/>
        <w:jc w:val="both"/>
      </w:pPr>
      <w:r>
        <w:rPr>
          <w:rStyle w:val="Refdenotaalpie"/>
        </w:rPr>
        <w:footnoteRef/>
      </w:r>
      <w:r>
        <w:t xml:space="preserve"> Puede mencionar en la present</w:t>
      </w:r>
      <w:r w:rsidR="00B13823">
        <w:t>e</w:t>
      </w:r>
      <w:r>
        <w:t xml:space="preserve"> acta, las condiciones de emisión conforme los datos del Suplemento de Prospecto, no obstante a que los mismos puedan ser ampliados y/o modificados conforme la delegación que se haya efectuado, o dejar constancia de la distribución de un Suplemento Preliminar</w:t>
      </w:r>
      <w:r w:rsidR="002D7700">
        <w:t xml:space="preserve"> en los cuales se detallan los términos y condiciones de la emisión</w:t>
      </w:r>
      <w:r>
        <w:t xml:space="preserve">.  </w:t>
      </w:r>
    </w:p>
  </w:footnote>
  <w:footnote w:id="11">
    <w:p w:rsidR="009C5B69" w:rsidRPr="0066486D" w:rsidRDefault="009C5B69" w:rsidP="00C05933">
      <w:pPr>
        <w:pStyle w:val="Textonotapie"/>
        <w:jc w:val="both"/>
      </w:pPr>
      <w:r>
        <w:rPr>
          <w:rStyle w:val="Refdenotaalpie"/>
        </w:rPr>
        <w:footnoteRef/>
      </w:r>
      <w:r>
        <w:t xml:space="preserve"> Indicar </w:t>
      </w:r>
      <w:r w:rsidRPr="0066486D">
        <w:t>el monto máximo de emisión.</w:t>
      </w:r>
    </w:p>
  </w:footnote>
  <w:footnote w:id="12">
    <w:p w:rsidR="009C5B69" w:rsidRPr="0066486D" w:rsidRDefault="009C5B69" w:rsidP="00C05933">
      <w:pPr>
        <w:pStyle w:val="Textonotapie"/>
        <w:jc w:val="both"/>
      </w:pPr>
      <w:r w:rsidRPr="0066486D">
        <w:rPr>
          <w:rStyle w:val="Refdenotaalpie"/>
        </w:rPr>
        <w:footnoteRef/>
      </w:r>
      <w:r w:rsidRPr="0066486D">
        <w:t xml:space="preserve"> Completar con lo correspondiente. Recordar que la moneda de emisión se refiere a “peso”, “dólar” y valor nominal unitario se refiere al valor individual que se le otorga a las</w:t>
      </w:r>
      <w:r w:rsidR="0089311D">
        <w:t xml:space="preserve"> </w:t>
      </w:r>
      <w:r w:rsidRPr="0066486D">
        <w:t>obligacione</w:t>
      </w:r>
      <w:r w:rsidR="00B5059B">
        <w:t>s negociable</w:t>
      </w:r>
      <w:r w:rsidR="00B13823">
        <w:t xml:space="preserve"> (por ejemplo</w:t>
      </w:r>
      <w:r w:rsidR="0089311D">
        <w:t xml:space="preserve"> </w:t>
      </w:r>
      <w:r w:rsidR="00B13823">
        <w:t xml:space="preserve">$1). </w:t>
      </w:r>
    </w:p>
  </w:footnote>
  <w:footnote w:id="13">
    <w:p w:rsidR="009C5B69" w:rsidRPr="0066486D" w:rsidRDefault="009C5B69" w:rsidP="00434308">
      <w:pPr>
        <w:pStyle w:val="Textonotapie"/>
        <w:jc w:val="both"/>
      </w:pPr>
      <w:r w:rsidRPr="0066486D">
        <w:rPr>
          <w:rStyle w:val="Refdenotaalpie"/>
        </w:rPr>
        <w:footnoteRef/>
      </w:r>
      <w:r w:rsidRPr="0066486D">
        <w:t xml:space="preserve"> Indicar esquema de amortización (modalidad, plazos, fechas de pago; en su caso, monto o porcentaje de cada cuota; etc.). </w:t>
      </w:r>
      <w:r w:rsidRPr="0066486D">
        <w:rPr>
          <w:u w:val="single"/>
        </w:rPr>
        <w:t>Por ejemplo</w:t>
      </w:r>
      <w:r w:rsidRPr="0066486D">
        <w:t xml:space="preserve">: “El capital de las Obligaciones Negociables se amortizara de acuerdo al siguiente esquema: quince por ciento (15,00 %) a los dieciocho (18) meses, quince por ciento (15,00%) a los veinticuatro (24) meses, quince por ciento (15,00%) a los treinta (30) meses, quince por ciento (15,00%) a los treinta y seis (36) meses, veinte por ciento (20,00%) a los cuarenta y dos (42) meses, y veinte por ciento (20,00%) a los cuarenta y ocho (48) meses, todos los plazos contados a partir de la Fecha de Emisión y Liquidación. Todos los pagos serán efectuados por la Emisora mediante la transferencia de los importes correspondientes a la Caja de Valores S.A., para su acreditación en las respectivas cuentas de los titulares de Obligaciones Negociables con derecho al cobro.” </w:t>
      </w:r>
    </w:p>
  </w:footnote>
  <w:footnote w:id="14">
    <w:p w:rsidR="009C5B69" w:rsidRPr="0066486D" w:rsidRDefault="009C5B69" w:rsidP="00D01841">
      <w:pPr>
        <w:pStyle w:val="Textonotapie"/>
        <w:jc w:val="both"/>
      </w:pPr>
      <w:r w:rsidRPr="0066486D">
        <w:rPr>
          <w:rStyle w:val="Refdenotaalpie"/>
        </w:rPr>
        <w:footnoteRef/>
      </w:r>
      <w:r w:rsidRPr="0066486D">
        <w:t xml:space="preserve"> Completar los intereses (tasa; base de cálculo; plazos; fechas de pago; en su caso, monto o porcentaje de cada cuota; etc.). </w:t>
      </w:r>
      <w:r w:rsidRPr="0066486D">
        <w:rPr>
          <w:u w:val="single"/>
        </w:rPr>
        <w:t>Por ejemplo</w:t>
      </w:r>
      <w:r w:rsidRPr="0066486D">
        <w:t>: “La renta a abonar consistirá en un porcentaje fijo del siete coma cinco por ciento (7,5 %) nominal anual sobre saldo de capital. Los intereses comenzarán a devengarse a partir de la Fecha de Emisión y Liquidación de las Obligaciones Negociables y se calcularán por los días efectivamente corridos, sobre la base de un año de trescientos sesenta y cinco (365) días por el número de días comprendido en el correspondiente periodo de intereses. Si el día de pago de los intereses los Bancos no operaran normalmente en toda su actividad bancaria y/o cambiaria, el pago se efectuará el primer Día Hábil siguiente, sin derecho del obligacionista a recibir ningún interés adicional u otro pago por causa de la demora ocurrida por el motivo indicado. La mencionada postergación de la fecha de pago de los intereses</w:t>
      </w:r>
    </w:p>
    <w:p w:rsidR="009C5B69" w:rsidRPr="0066486D" w:rsidRDefault="009C5B69" w:rsidP="00D01841">
      <w:pPr>
        <w:pStyle w:val="Textonotapie"/>
        <w:jc w:val="both"/>
      </w:pPr>
      <w:r w:rsidRPr="0066486D">
        <w:t>no implicará una modificación en la cantidad de días comprendidos en el período de intereses respectivo. Con una anticipación no menor a cinco (5) días hábiles al día fijado para el pago, se publicará un aviso en la Autopista de Información Financiera de la CNV, en el sitio web de la Emisora (www.xxxx.com.ar) y en el diario de publicaciones del Mercado xxxx  S.A. con indicación del lugar donde se efectuará el pago, horario de atención, fecha en que se inicia, importe que se abona y período al cual corresponde el pago. Los servicios de interés correspondientes a las Obligaciones Negociables serán pagaderos semestralmente. El primer vencimiento de intereses se producirá a los xxx (x) meses de la Fecha de Emisión y Liquidación.</w:t>
      </w:r>
    </w:p>
  </w:footnote>
  <w:footnote w:id="15">
    <w:p w:rsidR="00247810" w:rsidRPr="00254BE9" w:rsidRDefault="009C5B69" w:rsidP="00C05933">
      <w:pPr>
        <w:pStyle w:val="Textonotapie"/>
        <w:jc w:val="both"/>
      </w:pPr>
      <w:r w:rsidRPr="0066486D">
        <w:rPr>
          <w:rStyle w:val="Refdenotaalpie"/>
        </w:rPr>
        <w:footnoteRef/>
      </w:r>
      <w:r w:rsidRPr="0066486D">
        <w:t xml:space="preserve"> Completar </w:t>
      </w:r>
      <w:r w:rsidR="00CA6937">
        <w:t xml:space="preserve">estableciendo las denominaciones sociales del Agente o Agentes de Garantía que otorguen la garantía y los porcentajes en que garantizará cada Agente en caso de que más de un Agente garantice las Obligaciones Negociables. </w:t>
      </w:r>
      <w:r w:rsidR="00247810">
        <w:t>El A</w:t>
      </w:r>
      <w:r w:rsidRPr="0066486D">
        <w:t xml:space="preserve">rtículo 3° de la LON en su última parte que, las Obligaciones Negociables </w:t>
      </w:r>
      <w:r w:rsidRPr="0066486D">
        <w:rPr>
          <w:i/>
        </w:rPr>
        <w:t>“pueden ser igualmente avaladas o garantizadas, por cualquier otro medio</w:t>
      </w:r>
      <w:r w:rsidRPr="0066486D">
        <w:t xml:space="preserve">, </w:t>
      </w:r>
      <w:r w:rsidRPr="0066486D">
        <w:rPr>
          <w:i/>
        </w:rPr>
        <w:t>incluyendo Sociedades de Garantía Reciproca (SGR) o fondos de garantía. Pueden ser también garantizadas por entidades financieras</w:t>
      </w:r>
      <w:r w:rsidRPr="00254BE9">
        <w:t xml:space="preserve">”. Los recaudos respecto a la constitución de las mencionadas garantías, se encuentran detallados en el art. 3° </w:t>
      </w:r>
      <w:r>
        <w:t>ya mencionado</w:t>
      </w:r>
      <w:r w:rsidRPr="00254BE9">
        <w:t xml:space="preserve">. </w:t>
      </w:r>
      <w:r>
        <w:t xml:space="preserve"> </w:t>
      </w:r>
    </w:p>
  </w:footnote>
  <w:footnote w:id="16">
    <w:p w:rsidR="009C5B69" w:rsidRPr="00254BE9" w:rsidRDefault="009C5B69" w:rsidP="007C4D64">
      <w:pPr>
        <w:pStyle w:val="Textonotapie"/>
        <w:jc w:val="both"/>
      </w:pPr>
      <w:r w:rsidRPr="00254BE9">
        <w:rPr>
          <w:rStyle w:val="Refdenotaalpie"/>
        </w:rPr>
        <w:footnoteRef/>
      </w:r>
      <w:r w:rsidR="00EA48AC">
        <w:t xml:space="preserve"> De acuerdo a lo establecido en</w:t>
      </w:r>
      <w:r w:rsidR="00FA13B2">
        <w:t xml:space="preserve"> el Articulo 20 y Anexo VI, de la Sección III,  Capítulo VI, del Título II de las Normas de la CNV </w:t>
      </w:r>
      <w:r w:rsidR="00EA48AC">
        <w:t>las Obligaciones Negociables para Régimen CNV PYME Garantizadas serán representadas en un Certificado</w:t>
      </w:r>
      <w:r w:rsidRPr="00254BE9">
        <w:t xml:space="preserve"> </w:t>
      </w:r>
      <w:r>
        <w:t xml:space="preserve">Global </w:t>
      </w:r>
      <w:r w:rsidR="00FA13B2">
        <w:t xml:space="preserve">Permanente </w:t>
      </w:r>
      <w:r w:rsidRPr="00254BE9">
        <w:t>a ser depositado en Caja de Valores S.A. cfr. la Ley 24.587</w:t>
      </w:r>
      <w:r w:rsidR="0041124F">
        <w:t>, que, como Agente de Depósito y Registro registrará realizando anotaciones en cuentas, la titularidad de las Obligaciones Negociables para Régimen CNV PYME Garantizadas y cualquier gravamen, medidas precautorias y cualquier otro de los derechos conferidos por las mismas.</w:t>
      </w:r>
      <w:r w:rsidRPr="00254BE9">
        <w:t xml:space="preserve"> </w:t>
      </w:r>
    </w:p>
  </w:footnote>
  <w:footnote w:id="17">
    <w:p w:rsidR="009C5B69" w:rsidRPr="00254BE9" w:rsidRDefault="009C5B69" w:rsidP="00B91F4D">
      <w:pPr>
        <w:pStyle w:val="Textonotapie"/>
        <w:jc w:val="both"/>
      </w:pPr>
      <w:r w:rsidRPr="00254BE9">
        <w:rPr>
          <w:rStyle w:val="Refdenotaalpie"/>
        </w:rPr>
        <w:footnoteRef/>
      </w:r>
      <w:r w:rsidRPr="00254BE9">
        <w:t xml:space="preserve"> </w:t>
      </w:r>
      <w:r w:rsidR="00A35727">
        <w:t xml:space="preserve">Completar con el tipo de subasta que se utilizará como método de colocación de las Obligaciones Negociables. </w:t>
      </w:r>
      <w:r w:rsidRPr="00254BE9">
        <w:t>Conforme el</w:t>
      </w:r>
      <w:r w:rsidR="0041124F">
        <w:t xml:space="preserve"> </w:t>
      </w:r>
      <w:r w:rsidR="00E2343A">
        <w:t xml:space="preserve">Artículo 22, Sección III,  Capítulo VI, del Título II de las Normas de la CNV </w:t>
      </w:r>
      <w:r w:rsidR="0041124F">
        <w:t>las emisoras de Obligaciones Negociables para Régimen CNV PYME Garantizadas</w:t>
      </w:r>
      <w:r w:rsidR="00576E1F">
        <w:t xml:space="preserve"> deberán realizar la colocación de las Obligaciones Negociables para Régimen CNV PYME Garantizadas </w:t>
      </w:r>
      <w:r w:rsidRPr="00254BE9">
        <w:t xml:space="preserve">por el sistema de subasta o licitación pública. </w:t>
      </w:r>
      <w:r>
        <w:t xml:space="preserve">El procedimiento de subasta o licitación pública puede realizarse dependiendo del tipo de subasta. Por órden cronológico, según el orden de llegada de las ordenes de compra, utilizado cuando las condiciones de precio de la colocación están predeterminados, hasta que la demanda cubra la oferta. En el supuesto de que la demanda supere a la oferta, los </w:t>
      </w:r>
      <w:r w:rsidR="00B13823">
        <w:t xml:space="preserve">valores </w:t>
      </w:r>
      <w:r>
        <w:t xml:space="preserve">a adjudicar se prorratean entre todos los interesados.  Si la subasta es </w:t>
      </w:r>
      <w:r w:rsidR="00E71B98">
        <w:t>holandesa</w:t>
      </w:r>
      <w:r w:rsidR="00A86C07">
        <w:t xml:space="preserve"> modificada</w:t>
      </w:r>
      <w:r w:rsidR="00E71B98">
        <w:t xml:space="preserve"> simple</w:t>
      </w:r>
      <w:r>
        <w:t xml:space="preserve">, los </w:t>
      </w:r>
      <w:r w:rsidR="00B13823">
        <w:t>valores negociables</w:t>
      </w:r>
      <w:r>
        <w:t xml:space="preserve"> son adjudicados entre los demandantes que ofrezcan </w:t>
      </w:r>
      <w:r w:rsidR="00A86C07">
        <w:t xml:space="preserve">los mayores precios </w:t>
      </w:r>
      <w:r>
        <w:t xml:space="preserve">pero se venden </w:t>
      </w:r>
      <w:r w:rsidR="00A86C07">
        <w:t xml:space="preserve">al menor precio ofrecido por un </w:t>
      </w:r>
      <w:r>
        <w:t>postor dentro del grupo de of</w:t>
      </w:r>
      <w:r w:rsidR="00A86C07">
        <w:t>ertantes de los mayores precios</w:t>
      </w:r>
      <w:r>
        <w:t>.</w:t>
      </w:r>
      <w:r w:rsidR="00A86C07">
        <w:t xml:space="preserve"> </w:t>
      </w:r>
      <w:r w:rsidRPr="00B635B8">
        <w:t>Sobre la base de las manifestaciones de interés de lo</w:t>
      </w:r>
      <w:r>
        <w:t xml:space="preserve">s inversores se adjudican los </w:t>
      </w:r>
      <w:r w:rsidR="00B13823">
        <w:t>valores</w:t>
      </w:r>
      <w:r w:rsidR="00B13823" w:rsidRPr="00B635B8">
        <w:t xml:space="preserve"> </w:t>
      </w:r>
      <w:r w:rsidRPr="00B635B8">
        <w:t>partiendo de la mejor oferta hacia la menor, hasta agotar el monto de la emisión.</w:t>
      </w:r>
    </w:p>
  </w:footnote>
  <w:footnote w:id="18">
    <w:p w:rsidR="009C5B69" w:rsidRPr="00254BE9" w:rsidRDefault="009C5B69" w:rsidP="007C4D64">
      <w:pPr>
        <w:pStyle w:val="Textonotapie"/>
        <w:jc w:val="both"/>
      </w:pPr>
      <w:r w:rsidRPr="00254BE9">
        <w:rPr>
          <w:rStyle w:val="Refdenotaalpie"/>
        </w:rPr>
        <w:footnoteRef/>
      </w:r>
      <w:r w:rsidRPr="00254BE9">
        <w:t xml:space="preserve"> Completar con el Mercado y/o los Mercados correspondientes donde solicitará el listado y/o negociación de las Obligaciones Negociables. Conforme el artículo 29, del Capítulo I del Título VI de las NORMAS </w:t>
      </w:r>
      <w:r>
        <w:t xml:space="preserve">de la CNV, </w:t>
      </w:r>
      <w:r w:rsidRPr="00254BE9">
        <w:t xml:space="preserve">los valores negociables que cuenten con autorización de Oferta Pública deberán, para su negociación, ser listados en uno o más mercados autorizados a funcionar por la CNV. </w:t>
      </w:r>
      <w:r w:rsidRPr="00A35727">
        <w:t xml:space="preserve">Consultar en </w:t>
      </w:r>
      <w:hyperlink r:id="rId1" w:history="1">
        <w:r w:rsidRPr="00A35727">
          <w:rPr>
            <w:rStyle w:val="Hipervnculo"/>
          </w:rPr>
          <w:t>www.cnv.gov.ar</w:t>
        </w:r>
      </w:hyperlink>
      <w:r w:rsidR="00A35727">
        <w:t>.</w:t>
      </w:r>
    </w:p>
  </w:footnote>
  <w:footnote w:id="19">
    <w:p w:rsidR="009C5B69" w:rsidRPr="00254BE9" w:rsidRDefault="009C5B69" w:rsidP="007C4D64">
      <w:pPr>
        <w:pStyle w:val="Textonotapie"/>
        <w:jc w:val="both"/>
      </w:pPr>
      <w:r w:rsidRPr="00254BE9">
        <w:rPr>
          <w:rStyle w:val="Refdenotaalpie"/>
        </w:rPr>
        <w:footnoteRef/>
      </w:r>
      <w:r w:rsidRPr="00254BE9">
        <w:t xml:space="preserve"> Mencionar a todos los Agentes, así como a otros intervinientes que quepa mencionar. </w:t>
      </w:r>
    </w:p>
  </w:footnote>
  <w:footnote w:id="20">
    <w:p w:rsidR="00EA1792" w:rsidRDefault="009C5B69" w:rsidP="00EA1792">
      <w:pPr>
        <w:pStyle w:val="Textonotapie"/>
        <w:jc w:val="both"/>
      </w:pPr>
      <w:r w:rsidRPr="00254BE9">
        <w:rPr>
          <w:rStyle w:val="Refdenotaalpie"/>
        </w:rPr>
        <w:footnoteRef/>
      </w:r>
      <w:r w:rsidRPr="00254BE9">
        <w:t xml:space="preserve"> </w:t>
      </w:r>
      <w:r w:rsidR="00EA1792">
        <w:t xml:space="preserve">Conforme el artículo 36 de la LON, </w:t>
      </w:r>
      <w:r w:rsidR="00EA1792" w:rsidRPr="00807AF2">
        <w:rPr>
          <w:lang w:val="es-MX"/>
        </w:rPr>
        <w:t>a efectos de obtener el tratamiento impositivo</w:t>
      </w:r>
      <w:r w:rsidR="00EA1792">
        <w:t xml:space="preserve"> </w:t>
      </w:r>
      <w:r w:rsidR="00EA1792">
        <w:rPr>
          <w:lang w:val="es-MX"/>
        </w:rPr>
        <w:t xml:space="preserve">contemplado en dicha ley (ej. exención de impuesto al valor agregado, de impuesto a las ganancias, etc.)  </w:t>
      </w:r>
      <w:r w:rsidR="00EA1792">
        <w:t xml:space="preserve">la aplicación de los fondos a obtener mediante la colocación de las obligaciones negociables </w:t>
      </w:r>
      <w:r w:rsidR="00EA1792" w:rsidRPr="00807AF2">
        <w:t>solo puede ser</w:t>
      </w:r>
      <w:r w:rsidR="00EA1792">
        <w:t xml:space="preserve"> para inversiones en activos físicos situados en el país, integración de capital de trabajo en el país o refinanciación de pasivos, la integración de aportes de capital en sociedades controladas o vinculadas a la sociedad cuyo producido se aplique a los destinos antes especificados. </w:t>
      </w:r>
    </w:p>
    <w:p w:rsidR="009C5B69" w:rsidRPr="00254BE9" w:rsidRDefault="009C5B69" w:rsidP="007C4D64">
      <w:pPr>
        <w:pStyle w:val="Textonotapie"/>
        <w:jc w:val="both"/>
      </w:pPr>
      <w:r w:rsidRPr="00254BE9">
        <w:t xml:space="preserve"> </w:t>
      </w:r>
    </w:p>
  </w:footnote>
  <w:footnote w:id="21">
    <w:p w:rsidR="00EA1792" w:rsidRPr="00D36761" w:rsidRDefault="00EA1792" w:rsidP="00EA1792">
      <w:pPr>
        <w:pStyle w:val="Textonotapie"/>
        <w:jc w:val="both"/>
      </w:pPr>
      <w:r w:rsidRPr="00D36761">
        <w:rPr>
          <w:rStyle w:val="Refdenotaalpie"/>
        </w:rPr>
        <w:footnoteRef/>
      </w:r>
      <w:r w:rsidRPr="00D36761">
        <w:t xml:space="preserve"> </w:t>
      </w:r>
      <w:r w:rsidRPr="00D36761">
        <w:rPr>
          <w:lang w:val="es-MX"/>
        </w:rPr>
        <w:t xml:space="preserve">Incorporar los nombres completos y DNI de los Autorizados. </w:t>
      </w:r>
    </w:p>
  </w:footnote>
  <w:footnote w:id="22">
    <w:p w:rsidR="00EA1792" w:rsidRPr="00D36761" w:rsidRDefault="00EA1792" w:rsidP="00EA1792">
      <w:pPr>
        <w:pStyle w:val="Textonotapie"/>
        <w:spacing w:line="240" w:lineRule="atLeast"/>
        <w:jc w:val="both"/>
      </w:pPr>
      <w:r w:rsidRPr="00D36761">
        <w:rPr>
          <w:rStyle w:val="Refdenotaalpie"/>
        </w:rPr>
        <w:footnoteRef/>
      </w:r>
      <w:r w:rsidRPr="00D36761">
        <w:t xml:space="preserve">El Art. 10 de la Ley 23.576, establece que </w:t>
      </w:r>
      <w:r w:rsidRPr="00D36761">
        <w:rPr>
          <w:i/>
        </w:rPr>
        <w:t>“En los casos de emisión de obligaciones negociables la emisora deberá elaborar un aviso que publicará en Boletín Oficial por UN (1) día, quedando constancia del contenido</w:t>
      </w:r>
      <w:r w:rsidRPr="00D36761">
        <w:t xml:space="preserve"> </w:t>
      </w:r>
      <w:r w:rsidRPr="00D36761">
        <w:rPr>
          <w:i/>
        </w:rPr>
        <w:t>del mismo en el organismo de control respectivo, y se inscribirá en el Registro Público con los siguientes datos: a) Fecha de las asambleas y reunión del órgano de administración en su caso, en que se haya decidido el empréstito y sus condiciones de emisión; b) La denominación de la emisora, domicilio, fecha y lugar de constitución, duración y los datos de su inscripción en el Registro Público de Comercio u organismo correspondiente; c) El objeto social y la actividad principal desarrollada a la época de la emisión; d) El capital social y el patrimonio neto de la emisora; e) El monto del empréstito y la moneda en que se emite; f) El monto de las obligaciones negociables o debentures emitidos con anterioridad, así como el de las deudas con privilegios o garantías que la emisora tenga contraídas al tiempo de la emisión; g) La naturaleza de la garantía; h) Las condiciones de amortización; i) La fórmula de actualización del capital en su caso, tipo y época del pago del interés; j) Si fueren convertibles en acciones la fórmula de conversión, así como las de reajuste en los supuestos de los artículos 23 inc. b), 25 y 26 de la presente ley y la parte pertinente de las decisiones de los órganos de gobierno y de administración en su caso, referentes a la emisión”.</w:t>
      </w:r>
      <w:bookmarkStart w:id="0" w:name="_GoBack"/>
      <w:bookmarkEnd w:id="0"/>
    </w:p>
  </w:footnote>
  <w:footnote w:id="23">
    <w:p w:rsidR="00EA1792" w:rsidRPr="008E03F5" w:rsidRDefault="00EA1792" w:rsidP="00EA1792">
      <w:pPr>
        <w:pStyle w:val="Textonotapie"/>
        <w:spacing w:line="240" w:lineRule="atLeast"/>
        <w:jc w:val="both"/>
        <w:rPr>
          <w:lang w:val="es-MX"/>
        </w:rPr>
      </w:pPr>
      <w:r w:rsidRPr="00D36761">
        <w:rPr>
          <w:rStyle w:val="Refdenotaalpie"/>
        </w:rPr>
        <w:footnoteRef/>
      </w:r>
      <w:r w:rsidRPr="00D36761">
        <w:t xml:space="preserve"> </w:t>
      </w:r>
      <w:r w:rsidRPr="00D36761">
        <w:rPr>
          <w:lang w:val="es-ES_tradnl"/>
        </w:rPr>
        <w:t>Completar con la hora en la que concluye la reunión.</w:t>
      </w:r>
      <w:r>
        <w:rPr>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69" w:rsidRPr="007A6026" w:rsidRDefault="009C5B69" w:rsidP="00DE2E7F">
    <w:pPr>
      <w:pStyle w:val="Encabezado"/>
      <w:pBdr>
        <w:top w:val="single" w:sz="4" w:space="1" w:color="auto"/>
        <w:left w:val="single" w:sz="4" w:space="4" w:color="auto"/>
        <w:bottom w:val="single" w:sz="4" w:space="1" w:color="auto"/>
        <w:right w:val="single" w:sz="4" w:space="4" w:color="auto"/>
      </w:pBdr>
      <w:jc w:val="both"/>
      <w:rPr>
        <w:color w:val="FF0000"/>
        <w:sz w:val="24"/>
        <w:szCs w:val="24"/>
      </w:rPr>
    </w:pPr>
    <w:r w:rsidRPr="007A6026">
      <w:rPr>
        <w:b/>
        <w:color w:val="FF0000"/>
        <w:sz w:val="24"/>
        <w:szCs w:val="24"/>
        <w:u w:val="single"/>
      </w:rPr>
      <w:t>ADVERTENCIA</w:t>
    </w:r>
    <w:r w:rsidRPr="007A6026">
      <w:rPr>
        <w:color w:val="FF0000"/>
        <w:sz w:val="24"/>
        <w:szCs w:val="24"/>
      </w:rPr>
      <w:t xml:space="preserve">: EL PRESENTE MODELO ES ORIENTATIVO, DEBIÉNDOSE COTEJAR SU CONTENIDO CON LAS CLÁUSULAS ESTABLECIDAS EN EL ESTATUTO SOCIAL DE LA SOCIEDAD Y SUS MODIFICACIONES. RECUERDE ELIMINAR ESTA ADVERTENCIA Y LAS NOTAS AL PIE AL MOMENTO DE SU CONFECCIÓN DEFINITIVA. </w:t>
    </w:r>
  </w:p>
  <w:p w:rsidR="009C5B69" w:rsidRDefault="009C5B69">
    <w:pPr>
      <w:pStyle w:val="Encabezado"/>
    </w:pPr>
  </w:p>
  <w:p w:rsidR="009C5B69" w:rsidRDefault="009C5B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58"/>
    <w:rsid w:val="00004080"/>
    <w:rsid w:val="00030769"/>
    <w:rsid w:val="00037CB7"/>
    <w:rsid w:val="00071012"/>
    <w:rsid w:val="00085AC2"/>
    <w:rsid w:val="000B46AE"/>
    <w:rsid w:val="000C232A"/>
    <w:rsid w:val="000D295D"/>
    <w:rsid w:val="000D600E"/>
    <w:rsid w:val="00120939"/>
    <w:rsid w:val="00132560"/>
    <w:rsid w:val="00165507"/>
    <w:rsid w:val="00165B4C"/>
    <w:rsid w:val="00181E99"/>
    <w:rsid w:val="00186955"/>
    <w:rsid w:val="0019210F"/>
    <w:rsid w:val="001924F8"/>
    <w:rsid w:val="001A3EEB"/>
    <w:rsid w:val="001B574D"/>
    <w:rsid w:val="001C1472"/>
    <w:rsid w:val="001C474E"/>
    <w:rsid w:val="001C6782"/>
    <w:rsid w:val="002257A4"/>
    <w:rsid w:val="00225D85"/>
    <w:rsid w:val="00231686"/>
    <w:rsid w:val="0024681F"/>
    <w:rsid w:val="00247810"/>
    <w:rsid w:val="00254BE9"/>
    <w:rsid w:val="00287ACE"/>
    <w:rsid w:val="00294A03"/>
    <w:rsid w:val="002B2BA5"/>
    <w:rsid w:val="002C0FE2"/>
    <w:rsid w:val="002C7DEC"/>
    <w:rsid w:val="002D317D"/>
    <w:rsid w:val="002D7700"/>
    <w:rsid w:val="0030660E"/>
    <w:rsid w:val="00317427"/>
    <w:rsid w:val="003258B4"/>
    <w:rsid w:val="00341F32"/>
    <w:rsid w:val="00365CDC"/>
    <w:rsid w:val="00392F39"/>
    <w:rsid w:val="003F4B58"/>
    <w:rsid w:val="003F5207"/>
    <w:rsid w:val="00400FC8"/>
    <w:rsid w:val="0041124F"/>
    <w:rsid w:val="004307E7"/>
    <w:rsid w:val="00434308"/>
    <w:rsid w:val="00435C70"/>
    <w:rsid w:val="00451528"/>
    <w:rsid w:val="004750CF"/>
    <w:rsid w:val="00481889"/>
    <w:rsid w:val="004B0A13"/>
    <w:rsid w:val="004D18BF"/>
    <w:rsid w:val="004E1D77"/>
    <w:rsid w:val="004F088C"/>
    <w:rsid w:val="00536CCE"/>
    <w:rsid w:val="00537492"/>
    <w:rsid w:val="00576E1F"/>
    <w:rsid w:val="0058698B"/>
    <w:rsid w:val="005B1ED6"/>
    <w:rsid w:val="005C1B58"/>
    <w:rsid w:val="005F3B41"/>
    <w:rsid w:val="005F4D8B"/>
    <w:rsid w:val="005F6578"/>
    <w:rsid w:val="00600D02"/>
    <w:rsid w:val="0061727B"/>
    <w:rsid w:val="0061729D"/>
    <w:rsid w:val="00627C4B"/>
    <w:rsid w:val="0063016E"/>
    <w:rsid w:val="0063727F"/>
    <w:rsid w:val="00645DF9"/>
    <w:rsid w:val="006610FA"/>
    <w:rsid w:val="0066486D"/>
    <w:rsid w:val="00665C40"/>
    <w:rsid w:val="0067183B"/>
    <w:rsid w:val="00695AB6"/>
    <w:rsid w:val="006A435B"/>
    <w:rsid w:val="00721E2F"/>
    <w:rsid w:val="0072582C"/>
    <w:rsid w:val="007301C3"/>
    <w:rsid w:val="0075607A"/>
    <w:rsid w:val="00760FB2"/>
    <w:rsid w:val="0076261E"/>
    <w:rsid w:val="00764723"/>
    <w:rsid w:val="007801BB"/>
    <w:rsid w:val="00793282"/>
    <w:rsid w:val="007A521B"/>
    <w:rsid w:val="007B05D3"/>
    <w:rsid w:val="007C4D64"/>
    <w:rsid w:val="007C63E6"/>
    <w:rsid w:val="007D31D2"/>
    <w:rsid w:val="007D5A89"/>
    <w:rsid w:val="007F28FD"/>
    <w:rsid w:val="0080006D"/>
    <w:rsid w:val="00807AF2"/>
    <w:rsid w:val="00812EC8"/>
    <w:rsid w:val="00842A69"/>
    <w:rsid w:val="00846D64"/>
    <w:rsid w:val="00874DB1"/>
    <w:rsid w:val="00877283"/>
    <w:rsid w:val="008848DA"/>
    <w:rsid w:val="0089311D"/>
    <w:rsid w:val="008B11D8"/>
    <w:rsid w:val="008D02C4"/>
    <w:rsid w:val="008E03F5"/>
    <w:rsid w:val="008E2D4D"/>
    <w:rsid w:val="008E6FCE"/>
    <w:rsid w:val="008F4571"/>
    <w:rsid w:val="008F63D7"/>
    <w:rsid w:val="00932CFF"/>
    <w:rsid w:val="00934848"/>
    <w:rsid w:val="00937121"/>
    <w:rsid w:val="009412BD"/>
    <w:rsid w:val="009557F8"/>
    <w:rsid w:val="00966AAD"/>
    <w:rsid w:val="00994D83"/>
    <w:rsid w:val="009977F9"/>
    <w:rsid w:val="009A1DAF"/>
    <w:rsid w:val="009A6097"/>
    <w:rsid w:val="009A7A7B"/>
    <w:rsid w:val="009C2C8F"/>
    <w:rsid w:val="009C3BA4"/>
    <w:rsid w:val="009C5B69"/>
    <w:rsid w:val="009D48A6"/>
    <w:rsid w:val="00A13B10"/>
    <w:rsid w:val="00A35727"/>
    <w:rsid w:val="00A7041F"/>
    <w:rsid w:val="00A84BA4"/>
    <w:rsid w:val="00A86C07"/>
    <w:rsid w:val="00A87D44"/>
    <w:rsid w:val="00AE3ABC"/>
    <w:rsid w:val="00B05A48"/>
    <w:rsid w:val="00B13823"/>
    <w:rsid w:val="00B14401"/>
    <w:rsid w:val="00B40405"/>
    <w:rsid w:val="00B43386"/>
    <w:rsid w:val="00B5059B"/>
    <w:rsid w:val="00B635B8"/>
    <w:rsid w:val="00B86FCA"/>
    <w:rsid w:val="00B91F4D"/>
    <w:rsid w:val="00BC0CC2"/>
    <w:rsid w:val="00BC5769"/>
    <w:rsid w:val="00BE0375"/>
    <w:rsid w:val="00BE1E0D"/>
    <w:rsid w:val="00BF60FC"/>
    <w:rsid w:val="00C05933"/>
    <w:rsid w:val="00C164C8"/>
    <w:rsid w:val="00C30996"/>
    <w:rsid w:val="00C34787"/>
    <w:rsid w:val="00C3511C"/>
    <w:rsid w:val="00C57E94"/>
    <w:rsid w:val="00C70B17"/>
    <w:rsid w:val="00C93AB2"/>
    <w:rsid w:val="00CA6937"/>
    <w:rsid w:val="00CC3E60"/>
    <w:rsid w:val="00CD33D2"/>
    <w:rsid w:val="00CD50B8"/>
    <w:rsid w:val="00CF55C6"/>
    <w:rsid w:val="00D01841"/>
    <w:rsid w:val="00D14268"/>
    <w:rsid w:val="00D14F08"/>
    <w:rsid w:val="00D14F46"/>
    <w:rsid w:val="00D4386D"/>
    <w:rsid w:val="00D5400A"/>
    <w:rsid w:val="00D553BA"/>
    <w:rsid w:val="00D71C3B"/>
    <w:rsid w:val="00D74D4A"/>
    <w:rsid w:val="00DA17A1"/>
    <w:rsid w:val="00DA25FC"/>
    <w:rsid w:val="00DE2B0D"/>
    <w:rsid w:val="00DE2E7F"/>
    <w:rsid w:val="00E17754"/>
    <w:rsid w:val="00E2343A"/>
    <w:rsid w:val="00E33C8D"/>
    <w:rsid w:val="00E479D8"/>
    <w:rsid w:val="00E56EA4"/>
    <w:rsid w:val="00E619AA"/>
    <w:rsid w:val="00E71B98"/>
    <w:rsid w:val="00E951A5"/>
    <w:rsid w:val="00E97934"/>
    <w:rsid w:val="00EA1792"/>
    <w:rsid w:val="00EA48AC"/>
    <w:rsid w:val="00EB1002"/>
    <w:rsid w:val="00EE0FD6"/>
    <w:rsid w:val="00EE5C30"/>
    <w:rsid w:val="00F11970"/>
    <w:rsid w:val="00F6329D"/>
    <w:rsid w:val="00F66864"/>
    <w:rsid w:val="00F83F7B"/>
    <w:rsid w:val="00FA13B2"/>
    <w:rsid w:val="00FA1E37"/>
    <w:rsid w:val="00FB065C"/>
    <w:rsid w:val="00FC5D2B"/>
    <w:rsid w:val="00FD4BB1"/>
    <w:rsid w:val="00FE7AD4"/>
    <w:rsid w:val="00FF62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A1DAF"/>
    <w:rPr>
      <w:sz w:val="16"/>
      <w:szCs w:val="16"/>
    </w:rPr>
  </w:style>
  <w:style w:type="paragraph" w:styleId="Textocomentario">
    <w:name w:val="annotation text"/>
    <w:basedOn w:val="Normal"/>
    <w:link w:val="TextocomentarioCar"/>
    <w:uiPriority w:val="99"/>
    <w:semiHidden/>
    <w:unhideWhenUsed/>
    <w:rsid w:val="009A1D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1DAF"/>
    <w:rPr>
      <w:sz w:val="20"/>
      <w:szCs w:val="20"/>
    </w:rPr>
  </w:style>
  <w:style w:type="paragraph" w:styleId="Asuntodelcomentario">
    <w:name w:val="annotation subject"/>
    <w:basedOn w:val="Textocomentario"/>
    <w:next w:val="Textocomentario"/>
    <w:link w:val="AsuntodelcomentarioCar"/>
    <w:uiPriority w:val="99"/>
    <w:semiHidden/>
    <w:unhideWhenUsed/>
    <w:rsid w:val="009A1DAF"/>
    <w:rPr>
      <w:b/>
      <w:bCs/>
    </w:rPr>
  </w:style>
  <w:style w:type="character" w:customStyle="1" w:styleId="AsuntodelcomentarioCar">
    <w:name w:val="Asunto del comentario Car"/>
    <w:basedOn w:val="TextocomentarioCar"/>
    <w:link w:val="Asuntodelcomentario"/>
    <w:uiPriority w:val="99"/>
    <w:semiHidden/>
    <w:rsid w:val="009A1DAF"/>
    <w:rPr>
      <w:b/>
      <w:bCs/>
      <w:sz w:val="20"/>
      <w:szCs w:val="20"/>
    </w:rPr>
  </w:style>
  <w:style w:type="paragraph" w:styleId="Textodeglobo">
    <w:name w:val="Balloon Text"/>
    <w:basedOn w:val="Normal"/>
    <w:link w:val="TextodegloboCar"/>
    <w:uiPriority w:val="99"/>
    <w:semiHidden/>
    <w:unhideWhenUsed/>
    <w:rsid w:val="009A1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AF"/>
    <w:rPr>
      <w:rFonts w:ascii="Tahoma" w:hAnsi="Tahoma" w:cs="Tahoma"/>
      <w:sz w:val="16"/>
      <w:szCs w:val="16"/>
    </w:rPr>
  </w:style>
  <w:style w:type="paragraph" w:styleId="Prrafodelista">
    <w:name w:val="List Paragraph"/>
    <w:basedOn w:val="Normal"/>
    <w:uiPriority w:val="34"/>
    <w:qFormat/>
    <w:rsid w:val="001A3EEB"/>
    <w:pPr>
      <w:ind w:left="720"/>
      <w:contextualSpacing/>
    </w:pPr>
  </w:style>
  <w:style w:type="paragraph" w:styleId="Textonotapie">
    <w:name w:val="footnote text"/>
    <w:basedOn w:val="Normal"/>
    <w:link w:val="TextonotapieCar"/>
    <w:uiPriority w:val="99"/>
    <w:unhideWhenUsed/>
    <w:rsid w:val="00A7041F"/>
    <w:pPr>
      <w:spacing w:after="0" w:line="240" w:lineRule="auto"/>
    </w:pPr>
    <w:rPr>
      <w:sz w:val="20"/>
      <w:szCs w:val="20"/>
    </w:rPr>
  </w:style>
  <w:style w:type="character" w:customStyle="1" w:styleId="TextonotapieCar">
    <w:name w:val="Texto nota pie Car"/>
    <w:basedOn w:val="Fuentedeprrafopredeter"/>
    <w:link w:val="Textonotapie"/>
    <w:uiPriority w:val="99"/>
    <w:rsid w:val="00A7041F"/>
    <w:rPr>
      <w:sz w:val="20"/>
      <w:szCs w:val="20"/>
    </w:rPr>
  </w:style>
  <w:style w:type="character" w:styleId="Refdenotaalpie">
    <w:name w:val="footnote reference"/>
    <w:basedOn w:val="Fuentedeprrafopredeter"/>
    <w:uiPriority w:val="99"/>
    <w:semiHidden/>
    <w:unhideWhenUsed/>
    <w:rsid w:val="00A7041F"/>
    <w:rPr>
      <w:vertAlign w:val="superscript"/>
    </w:rPr>
  </w:style>
  <w:style w:type="paragraph" w:styleId="NormalWeb">
    <w:name w:val="Normal (Web)"/>
    <w:basedOn w:val="Normal"/>
    <w:uiPriority w:val="99"/>
    <w:semiHidden/>
    <w:unhideWhenUsed/>
    <w:rsid w:val="00CD50B8"/>
    <w:rPr>
      <w:rFonts w:ascii="Times New Roman" w:hAnsi="Times New Roman" w:cs="Times New Roman"/>
      <w:sz w:val="24"/>
      <w:szCs w:val="24"/>
    </w:rPr>
  </w:style>
  <w:style w:type="paragraph" w:styleId="Textonotaalfinal">
    <w:name w:val="endnote text"/>
    <w:basedOn w:val="Normal"/>
    <w:link w:val="TextonotaalfinalCar"/>
    <w:uiPriority w:val="99"/>
    <w:semiHidden/>
    <w:unhideWhenUsed/>
    <w:rsid w:val="00842A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2A69"/>
    <w:rPr>
      <w:sz w:val="20"/>
      <w:szCs w:val="20"/>
    </w:rPr>
  </w:style>
  <w:style w:type="character" w:styleId="Refdenotaalfinal">
    <w:name w:val="endnote reference"/>
    <w:basedOn w:val="Fuentedeprrafopredeter"/>
    <w:uiPriority w:val="99"/>
    <w:semiHidden/>
    <w:unhideWhenUsed/>
    <w:rsid w:val="00842A69"/>
    <w:rPr>
      <w:vertAlign w:val="superscript"/>
    </w:rPr>
  </w:style>
  <w:style w:type="paragraph" w:styleId="Encabezado">
    <w:name w:val="header"/>
    <w:basedOn w:val="Normal"/>
    <w:link w:val="EncabezadoCar"/>
    <w:uiPriority w:val="99"/>
    <w:unhideWhenUsed/>
    <w:rsid w:val="00DE2E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E7F"/>
  </w:style>
  <w:style w:type="paragraph" w:styleId="Piedepgina">
    <w:name w:val="footer"/>
    <w:basedOn w:val="Normal"/>
    <w:link w:val="PiedepginaCar"/>
    <w:uiPriority w:val="99"/>
    <w:unhideWhenUsed/>
    <w:rsid w:val="00DE2E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E7F"/>
  </w:style>
  <w:style w:type="character" w:styleId="Hipervnculo">
    <w:name w:val="Hyperlink"/>
    <w:basedOn w:val="Fuentedeprrafopredeter"/>
    <w:uiPriority w:val="99"/>
    <w:unhideWhenUsed/>
    <w:rsid w:val="00A84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A1DAF"/>
    <w:rPr>
      <w:sz w:val="16"/>
      <w:szCs w:val="16"/>
    </w:rPr>
  </w:style>
  <w:style w:type="paragraph" w:styleId="Textocomentario">
    <w:name w:val="annotation text"/>
    <w:basedOn w:val="Normal"/>
    <w:link w:val="TextocomentarioCar"/>
    <w:uiPriority w:val="99"/>
    <w:semiHidden/>
    <w:unhideWhenUsed/>
    <w:rsid w:val="009A1D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1DAF"/>
    <w:rPr>
      <w:sz w:val="20"/>
      <w:szCs w:val="20"/>
    </w:rPr>
  </w:style>
  <w:style w:type="paragraph" w:styleId="Asuntodelcomentario">
    <w:name w:val="annotation subject"/>
    <w:basedOn w:val="Textocomentario"/>
    <w:next w:val="Textocomentario"/>
    <w:link w:val="AsuntodelcomentarioCar"/>
    <w:uiPriority w:val="99"/>
    <w:semiHidden/>
    <w:unhideWhenUsed/>
    <w:rsid w:val="009A1DAF"/>
    <w:rPr>
      <w:b/>
      <w:bCs/>
    </w:rPr>
  </w:style>
  <w:style w:type="character" w:customStyle="1" w:styleId="AsuntodelcomentarioCar">
    <w:name w:val="Asunto del comentario Car"/>
    <w:basedOn w:val="TextocomentarioCar"/>
    <w:link w:val="Asuntodelcomentario"/>
    <w:uiPriority w:val="99"/>
    <w:semiHidden/>
    <w:rsid w:val="009A1DAF"/>
    <w:rPr>
      <w:b/>
      <w:bCs/>
      <w:sz w:val="20"/>
      <w:szCs w:val="20"/>
    </w:rPr>
  </w:style>
  <w:style w:type="paragraph" w:styleId="Textodeglobo">
    <w:name w:val="Balloon Text"/>
    <w:basedOn w:val="Normal"/>
    <w:link w:val="TextodegloboCar"/>
    <w:uiPriority w:val="99"/>
    <w:semiHidden/>
    <w:unhideWhenUsed/>
    <w:rsid w:val="009A1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AF"/>
    <w:rPr>
      <w:rFonts w:ascii="Tahoma" w:hAnsi="Tahoma" w:cs="Tahoma"/>
      <w:sz w:val="16"/>
      <w:szCs w:val="16"/>
    </w:rPr>
  </w:style>
  <w:style w:type="paragraph" w:styleId="Prrafodelista">
    <w:name w:val="List Paragraph"/>
    <w:basedOn w:val="Normal"/>
    <w:uiPriority w:val="34"/>
    <w:qFormat/>
    <w:rsid w:val="001A3EEB"/>
    <w:pPr>
      <w:ind w:left="720"/>
      <w:contextualSpacing/>
    </w:pPr>
  </w:style>
  <w:style w:type="paragraph" w:styleId="Textonotapie">
    <w:name w:val="footnote text"/>
    <w:basedOn w:val="Normal"/>
    <w:link w:val="TextonotapieCar"/>
    <w:uiPriority w:val="99"/>
    <w:unhideWhenUsed/>
    <w:rsid w:val="00A7041F"/>
    <w:pPr>
      <w:spacing w:after="0" w:line="240" w:lineRule="auto"/>
    </w:pPr>
    <w:rPr>
      <w:sz w:val="20"/>
      <w:szCs w:val="20"/>
    </w:rPr>
  </w:style>
  <w:style w:type="character" w:customStyle="1" w:styleId="TextonotapieCar">
    <w:name w:val="Texto nota pie Car"/>
    <w:basedOn w:val="Fuentedeprrafopredeter"/>
    <w:link w:val="Textonotapie"/>
    <w:uiPriority w:val="99"/>
    <w:rsid w:val="00A7041F"/>
    <w:rPr>
      <w:sz w:val="20"/>
      <w:szCs w:val="20"/>
    </w:rPr>
  </w:style>
  <w:style w:type="character" w:styleId="Refdenotaalpie">
    <w:name w:val="footnote reference"/>
    <w:basedOn w:val="Fuentedeprrafopredeter"/>
    <w:uiPriority w:val="99"/>
    <w:semiHidden/>
    <w:unhideWhenUsed/>
    <w:rsid w:val="00A7041F"/>
    <w:rPr>
      <w:vertAlign w:val="superscript"/>
    </w:rPr>
  </w:style>
  <w:style w:type="paragraph" w:styleId="NormalWeb">
    <w:name w:val="Normal (Web)"/>
    <w:basedOn w:val="Normal"/>
    <w:uiPriority w:val="99"/>
    <w:semiHidden/>
    <w:unhideWhenUsed/>
    <w:rsid w:val="00CD50B8"/>
    <w:rPr>
      <w:rFonts w:ascii="Times New Roman" w:hAnsi="Times New Roman" w:cs="Times New Roman"/>
      <w:sz w:val="24"/>
      <w:szCs w:val="24"/>
    </w:rPr>
  </w:style>
  <w:style w:type="paragraph" w:styleId="Textonotaalfinal">
    <w:name w:val="endnote text"/>
    <w:basedOn w:val="Normal"/>
    <w:link w:val="TextonotaalfinalCar"/>
    <w:uiPriority w:val="99"/>
    <w:semiHidden/>
    <w:unhideWhenUsed/>
    <w:rsid w:val="00842A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2A69"/>
    <w:rPr>
      <w:sz w:val="20"/>
      <w:szCs w:val="20"/>
    </w:rPr>
  </w:style>
  <w:style w:type="character" w:styleId="Refdenotaalfinal">
    <w:name w:val="endnote reference"/>
    <w:basedOn w:val="Fuentedeprrafopredeter"/>
    <w:uiPriority w:val="99"/>
    <w:semiHidden/>
    <w:unhideWhenUsed/>
    <w:rsid w:val="00842A69"/>
    <w:rPr>
      <w:vertAlign w:val="superscript"/>
    </w:rPr>
  </w:style>
  <w:style w:type="paragraph" w:styleId="Encabezado">
    <w:name w:val="header"/>
    <w:basedOn w:val="Normal"/>
    <w:link w:val="EncabezadoCar"/>
    <w:uiPriority w:val="99"/>
    <w:unhideWhenUsed/>
    <w:rsid w:val="00DE2E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E7F"/>
  </w:style>
  <w:style w:type="paragraph" w:styleId="Piedepgina">
    <w:name w:val="footer"/>
    <w:basedOn w:val="Normal"/>
    <w:link w:val="PiedepginaCar"/>
    <w:uiPriority w:val="99"/>
    <w:unhideWhenUsed/>
    <w:rsid w:val="00DE2E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E7F"/>
  </w:style>
  <w:style w:type="character" w:styleId="Hipervnculo">
    <w:name w:val="Hyperlink"/>
    <w:basedOn w:val="Fuentedeprrafopredeter"/>
    <w:uiPriority w:val="99"/>
    <w:unhideWhenUsed/>
    <w:rsid w:val="00A84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5770">
      <w:bodyDiv w:val="1"/>
      <w:marLeft w:val="0"/>
      <w:marRight w:val="0"/>
      <w:marTop w:val="0"/>
      <w:marBottom w:val="0"/>
      <w:divBdr>
        <w:top w:val="none" w:sz="0" w:space="0" w:color="auto"/>
        <w:left w:val="none" w:sz="0" w:space="0" w:color="auto"/>
        <w:bottom w:val="none" w:sz="0" w:space="0" w:color="auto"/>
        <w:right w:val="none" w:sz="0" w:space="0" w:color="auto"/>
      </w:divBdr>
    </w:div>
    <w:div w:id="19288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nv.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168B-CEEE-4C65-A45A-91894DD8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Reyes</dc:creator>
  <cp:lastModifiedBy>Nadia Montenegro</cp:lastModifiedBy>
  <cp:revision>5</cp:revision>
  <cp:lastPrinted>2017-06-23T15:36:00Z</cp:lastPrinted>
  <dcterms:created xsi:type="dcterms:W3CDTF">2017-06-23T18:28:00Z</dcterms:created>
  <dcterms:modified xsi:type="dcterms:W3CDTF">2017-06-23T18:29:00Z</dcterms:modified>
</cp:coreProperties>
</file>